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autoSpaceDN/>
        <w:bidi w:val="0"/>
        <w:adjustRightInd/>
        <w:snapToGrid/>
        <w:spacing w:line="540" w:lineRule="exact"/>
        <w:jc w:val="center"/>
        <w:textAlignment w:val="auto"/>
        <w:rPr>
          <w:rFonts w:hint="eastAsia" w:ascii="黑体" w:hAnsi="黑体" w:eastAsia="黑体" w:cs="黑体"/>
          <w:b w:val="0"/>
          <w:bCs/>
          <w:spacing w:val="-6"/>
          <w:sz w:val="44"/>
          <w:szCs w:val="44"/>
          <w:lang w:val="en-US" w:eastAsia="zh-CN"/>
        </w:rPr>
      </w:pPr>
      <w:r>
        <w:rPr>
          <w:rFonts w:hint="eastAsia" w:ascii="方正小标宋简体" w:hAnsi="方正小标宋简体" w:eastAsia="方正小标宋简体" w:cs="方正小标宋简体"/>
          <w:b w:val="0"/>
          <w:bCs/>
          <w:spacing w:val="-6"/>
          <w:sz w:val="44"/>
          <w:szCs w:val="44"/>
        </w:rPr>
        <w:t>20</w:t>
      </w:r>
      <w:r>
        <w:rPr>
          <w:rFonts w:hint="eastAsia" w:ascii="方正小标宋简体" w:hAnsi="方正小标宋简体" w:eastAsia="方正小标宋简体" w:cs="方正小标宋简体"/>
          <w:b w:val="0"/>
          <w:bCs/>
          <w:spacing w:val="-6"/>
          <w:sz w:val="44"/>
          <w:szCs w:val="44"/>
          <w:lang w:val="en-US" w:eastAsia="zh-CN"/>
        </w:rPr>
        <w:t>20</w:t>
      </w:r>
      <w:r>
        <w:rPr>
          <w:rFonts w:hint="eastAsia" w:ascii="方正小标宋简体" w:hAnsi="方正小标宋简体" w:eastAsia="方正小标宋简体" w:cs="方正小标宋简体"/>
          <w:b w:val="0"/>
          <w:bCs/>
          <w:spacing w:val="-6"/>
          <w:sz w:val="44"/>
          <w:szCs w:val="44"/>
        </w:rPr>
        <w:t>年习水县国民经济和社会发展统计公报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年，全县上下深入学习习近平新时代中国特色社会主义思想，坚持稳中求进工作总基调，践行新发展理念，推进供给侧结构性改革，统筹推进疫情防控和经济社会发展，深入实施“酒旅并举·富民强县”发展战略，全面推进“七个习水”建设，在高质量发展的道路上阔步前行，保持了经济社会发展良好态势。</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一、综合</w:t>
      </w:r>
    </w:p>
    <w:p>
      <w:pPr>
        <w:keepNext w:val="0"/>
        <w:keepLines w:val="0"/>
        <w:pageBreakBefore w:val="0"/>
        <w:kinsoku/>
        <w:wordWrap/>
        <w:autoSpaceDE/>
        <w:autoSpaceDN/>
        <w:bidi w:val="0"/>
        <w:adjustRightInd/>
        <w:snapToGrid/>
        <w:spacing w:line="540" w:lineRule="exact"/>
        <w:ind w:firstLine="640" w:firstLineChars="200"/>
        <w:textAlignment w:val="auto"/>
        <w:rPr>
          <w:rFonts w:eastAsia="黑体"/>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经遵义市统计局</w:t>
      </w:r>
      <w:r>
        <w:rPr>
          <w:rFonts w:hint="eastAsia" w:ascii="仿宋_GB2312" w:hAnsi="仿宋_GB2312" w:eastAsia="仿宋_GB2312" w:cs="仿宋_GB2312"/>
          <w:kern w:val="0"/>
          <w:sz w:val="32"/>
          <w:szCs w:val="32"/>
        </w:rPr>
        <w:t>初步核算，</w:t>
      </w:r>
      <w:r>
        <w:rPr>
          <w:rFonts w:hint="eastAsia" w:ascii="仿宋_GB2312" w:hAnsi="仿宋_GB2312" w:eastAsia="仿宋_GB2312" w:cs="仿宋_GB2312"/>
          <w:bCs/>
          <w:sz w:val="32"/>
          <w:szCs w:val="32"/>
        </w:rPr>
        <w:t>全</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地区生产总值</w:t>
      </w:r>
      <w:r>
        <w:rPr>
          <w:rFonts w:hint="eastAsia" w:ascii="仿宋_GB2312" w:hAnsi="仿宋_GB2312" w:eastAsia="仿宋_GB2312" w:cs="仿宋_GB2312"/>
          <w:bCs/>
          <w:sz w:val="32"/>
          <w:szCs w:val="32"/>
          <w:lang w:val="en-US" w:eastAsia="zh-CN"/>
        </w:rPr>
        <w:t>208.85</w:t>
      </w:r>
      <w:r>
        <w:rPr>
          <w:rFonts w:hint="eastAsia" w:ascii="仿宋_GB2312" w:hAnsi="仿宋_GB2312" w:eastAsia="仿宋_GB2312" w:cs="仿宋_GB2312"/>
          <w:bCs/>
          <w:sz w:val="32"/>
          <w:szCs w:val="32"/>
        </w:rPr>
        <w:t>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bCs/>
          <w:sz w:val="32"/>
          <w:szCs w:val="32"/>
          <w:lang w:val="en-US" w:eastAsia="zh-CN"/>
        </w:rPr>
        <w:t>9.2%</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其中</w:t>
      </w:r>
      <w:r>
        <w:rPr>
          <w:rFonts w:hint="eastAsia" w:ascii="仿宋_GB2312" w:hAnsi="仿宋_GB2312" w:eastAsia="仿宋_GB2312" w:cs="仿宋_GB2312"/>
          <w:bCs/>
          <w:sz w:val="32"/>
          <w:szCs w:val="32"/>
        </w:rPr>
        <w:t>，第一产业增加值</w:t>
      </w:r>
      <w:r>
        <w:rPr>
          <w:rFonts w:hint="eastAsia" w:ascii="仿宋_GB2312" w:hAnsi="仿宋_GB2312" w:eastAsia="仿宋_GB2312" w:cs="仿宋_GB2312"/>
          <w:bCs/>
          <w:sz w:val="32"/>
          <w:szCs w:val="32"/>
          <w:lang w:val="en-US" w:eastAsia="zh-CN"/>
        </w:rPr>
        <w:t>39.24</w:t>
      </w:r>
      <w:r>
        <w:rPr>
          <w:rFonts w:hint="eastAsia" w:ascii="仿宋_GB2312" w:hAnsi="仿宋_GB2312" w:eastAsia="仿宋_GB2312" w:cs="仿宋_GB2312"/>
          <w:bCs/>
          <w:sz w:val="32"/>
          <w:szCs w:val="32"/>
        </w:rPr>
        <w:t>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bCs/>
          <w:sz w:val="32"/>
          <w:szCs w:val="32"/>
          <w:lang w:val="en-US" w:eastAsia="zh-CN"/>
        </w:rPr>
        <w:t>6.2</w:t>
      </w:r>
      <w:r>
        <w:rPr>
          <w:rFonts w:hint="eastAsia" w:ascii="仿宋_GB2312" w:hAnsi="仿宋_GB2312" w:eastAsia="仿宋_GB2312" w:cs="仿宋_GB2312"/>
          <w:bCs/>
          <w:sz w:val="32"/>
          <w:szCs w:val="32"/>
        </w:rPr>
        <w:t>%；第二产业增加值</w:t>
      </w:r>
      <w:r>
        <w:rPr>
          <w:rFonts w:hint="eastAsia" w:ascii="仿宋_GB2312" w:hAnsi="仿宋_GB2312" w:eastAsia="仿宋_GB2312" w:cs="仿宋_GB2312"/>
          <w:bCs/>
          <w:sz w:val="32"/>
          <w:szCs w:val="32"/>
          <w:lang w:val="en-US" w:eastAsia="zh-CN"/>
        </w:rPr>
        <w:t>89.89</w:t>
      </w:r>
      <w:r>
        <w:rPr>
          <w:rFonts w:hint="eastAsia" w:ascii="仿宋_GB2312" w:hAnsi="仿宋_GB2312" w:eastAsia="仿宋_GB2312" w:cs="仿宋_GB2312"/>
          <w:bCs/>
          <w:sz w:val="32"/>
          <w:szCs w:val="32"/>
        </w:rPr>
        <w:t>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bCs/>
          <w:sz w:val="32"/>
          <w:szCs w:val="32"/>
          <w:lang w:val="en-US" w:eastAsia="zh-CN"/>
        </w:rPr>
        <w:t>14.4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（其中，工业增加值</w:t>
      </w:r>
      <w:r>
        <w:rPr>
          <w:rFonts w:hint="eastAsia" w:ascii="仿宋_GB2312" w:hAnsi="仿宋_GB2312" w:eastAsia="仿宋_GB2312" w:cs="仿宋_GB2312"/>
          <w:bCs/>
          <w:sz w:val="32"/>
          <w:szCs w:val="32"/>
          <w:lang w:val="en-US" w:eastAsia="zh-CN"/>
        </w:rPr>
        <w:t>81.5亿元，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bCs/>
          <w:sz w:val="32"/>
          <w:szCs w:val="32"/>
          <w:lang w:val="en-US" w:eastAsia="zh-CN"/>
        </w:rPr>
        <w:t>14.6%</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；第三产业增加值</w:t>
      </w:r>
      <w:r>
        <w:rPr>
          <w:rFonts w:hint="eastAsia" w:ascii="仿宋_GB2312" w:hAnsi="仿宋_GB2312" w:eastAsia="仿宋_GB2312" w:cs="仿宋_GB2312"/>
          <w:bCs/>
          <w:sz w:val="32"/>
          <w:szCs w:val="32"/>
          <w:lang w:val="en-US" w:eastAsia="zh-CN"/>
        </w:rPr>
        <w:t>79.71</w:t>
      </w:r>
      <w:r>
        <w:rPr>
          <w:rFonts w:hint="eastAsia" w:ascii="仿宋_GB2312" w:hAnsi="仿宋_GB2312" w:eastAsia="仿宋_GB2312" w:cs="仿宋_GB2312"/>
          <w:bCs/>
          <w:sz w:val="32"/>
          <w:szCs w:val="32"/>
        </w:rPr>
        <w:t>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bCs/>
          <w:sz w:val="32"/>
          <w:szCs w:val="32"/>
          <w:lang w:val="en-US" w:eastAsia="zh-CN"/>
        </w:rPr>
        <w:t>4.0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第一产业增加值占地区生产总值比重为</w:t>
      </w:r>
      <w:r>
        <w:rPr>
          <w:rFonts w:hint="eastAsia" w:ascii="仿宋_GB2312" w:hAnsi="仿宋_GB2312" w:eastAsia="仿宋_GB2312" w:cs="仿宋_GB2312"/>
          <w:bCs/>
          <w:sz w:val="32"/>
          <w:szCs w:val="32"/>
          <w:lang w:val="en-US" w:eastAsia="zh-CN"/>
        </w:rPr>
        <w:t>18.79%，</w:t>
      </w:r>
      <w:r>
        <w:rPr>
          <w:rFonts w:hint="eastAsia" w:ascii="仿宋_GB2312" w:hAnsi="仿宋_GB2312" w:eastAsia="仿宋_GB2312" w:cs="仿宋_GB2312"/>
          <w:bCs/>
          <w:sz w:val="32"/>
          <w:szCs w:val="32"/>
        </w:rPr>
        <w:t>比上年</w:t>
      </w:r>
      <w:r>
        <w:rPr>
          <w:rFonts w:hint="eastAsia" w:ascii="仿宋_GB2312" w:hAnsi="仿宋_GB2312" w:eastAsia="仿宋_GB2312" w:cs="仿宋_GB2312"/>
          <w:bCs/>
          <w:sz w:val="32"/>
          <w:szCs w:val="32"/>
          <w:lang w:eastAsia="zh-CN"/>
        </w:rPr>
        <w:t>上升</w:t>
      </w:r>
      <w:r>
        <w:rPr>
          <w:rFonts w:hint="eastAsia" w:ascii="仿宋_GB2312" w:hAnsi="仿宋_GB2312" w:eastAsia="仿宋_GB2312" w:cs="仿宋_GB2312"/>
          <w:bCs/>
          <w:sz w:val="32"/>
          <w:szCs w:val="32"/>
          <w:lang w:val="en-US" w:eastAsia="zh-CN"/>
        </w:rPr>
        <w:t>0.8</w:t>
      </w:r>
      <w:r>
        <w:rPr>
          <w:rFonts w:hint="eastAsia" w:ascii="仿宋_GB2312" w:hAnsi="仿宋_GB2312" w:eastAsia="仿宋_GB2312" w:cs="仿宋_GB2312"/>
          <w:bCs/>
          <w:sz w:val="32"/>
          <w:szCs w:val="32"/>
        </w:rPr>
        <w:t>个百分点；第二产业增加值占地区生产总值的比重为</w:t>
      </w:r>
      <w:r>
        <w:rPr>
          <w:rFonts w:hint="eastAsia" w:ascii="仿宋_GB2312" w:hAnsi="仿宋_GB2312" w:eastAsia="仿宋_GB2312" w:cs="仿宋_GB2312"/>
          <w:bCs/>
          <w:sz w:val="32"/>
          <w:szCs w:val="32"/>
          <w:lang w:val="en-US" w:eastAsia="zh-CN"/>
        </w:rPr>
        <w:t>43.04</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rPr>
        <w:t>，比上年</w:t>
      </w:r>
      <w:r>
        <w:rPr>
          <w:rFonts w:hint="eastAsia" w:ascii="仿宋_GB2312" w:hAnsi="仿宋_GB2312" w:eastAsia="仿宋_GB2312" w:cs="仿宋_GB2312"/>
          <w:bCs/>
          <w:sz w:val="32"/>
          <w:szCs w:val="32"/>
          <w:lang w:eastAsia="zh-CN"/>
        </w:rPr>
        <w:t>降低</w:t>
      </w:r>
      <w:r>
        <w:rPr>
          <w:rFonts w:hint="eastAsia" w:ascii="仿宋_GB2312" w:hAnsi="仿宋_GB2312" w:eastAsia="仿宋_GB2312" w:cs="仿宋_GB2312"/>
          <w:bCs/>
          <w:sz w:val="32"/>
          <w:szCs w:val="32"/>
          <w:lang w:val="en-US" w:eastAsia="zh-CN"/>
        </w:rPr>
        <w:t>0.33</w:t>
      </w:r>
      <w:r>
        <w:rPr>
          <w:rFonts w:hint="eastAsia" w:ascii="仿宋_GB2312" w:hAnsi="仿宋_GB2312" w:eastAsia="仿宋_GB2312" w:cs="仿宋_GB2312"/>
          <w:bCs/>
          <w:sz w:val="32"/>
          <w:szCs w:val="32"/>
        </w:rPr>
        <w:t>个百分点；第三产业增加值占地区生产总值的比重为</w:t>
      </w:r>
      <w:r>
        <w:rPr>
          <w:rFonts w:hint="eastAsia" w:ascii="仿宋_GB2312" w:hAnsi="仿宋_GB2312" w:eastAsia="仿宋_GB2312" w:cs="仿宋_GB2312"/>
          <w:bCs/>
          <w:sz w:val="32"/>
          <w:szCs w:val="32"/>
          <w:lang w:val="en-US" w:eastAsia="zh-CN"/>
        </w:rPr>
        <w:t>38.17</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rPr>
        <w:t>，比上年</w:t>
      </w:r>
      <w:r>
        <w:rPr>
          <w:rFonts w:hint="eastAsia" w:ascii="仿宋_GB2312" w:hAnsi="仿宋_GB2312" w:eastAsia="仿宋_GB2312" w:cs="仿宋_GB2312"/>
          <w:bCs/>
          <w:sz w:val="32"/>
          <w:szCs w:val="32"/>
          <w:lang w:eastAsia="zh-CN"/>
        </w:rPr>
        <w:t>下降</w:t>
      </w:r>
      <w:r>
        <w:rPr>
          <w:rFonts w:hint="eastAsia" w:ascii="仿宋_GB2312" w:hAnsi="仿宋_GB2312" w:eastAsia="仿宋_GB2312" w:cs="仿宋_GB2312"/>
          <w:bCs/>
          <w:sz w:val="32"/>
          <w:szCs w:val="32"/>
          <w:lang w:val="en-US" w:eastAsia="zh-CN"/>
        </w:rPr>
        <w:t>0.47</w:t>
      </w:r>
      <w:r>
        <w:rPr>
          <w:rFonts w:hint="eastAsia" w:ascii="仿宋_GB2312" w:hAnsi="仿宋_GB2312" w:eastAsia="仿宋_GB2312" w:cs="仿宋_GB2312"/>
          <w:bCs/>
          <w:sz w:val="32"/>
          <w:szCs w:val="32"/>
        </w:rPr>
        <w:t>个百分点。人均地区生产总值达到</w:t>
      </w:r>
      <w:r>
        <w:rPr>
          <w:rFonts w:hint="eastAsia" w:ascii="仿宋_GB2312" w:hAnsi="仿宋_GB2312" w:eastAsia="仿宋_GB2312" w:cs="仿宋_GB2312"/>
          <w:bCs/>
          <w:color w:val="auto"/>
          <w:sz w:val="32"/>
          <w:szCs w:val="32"/>
          <w:lang w:val="en-US" w:eastAsia="zh-CN"/>
        </w:rPr>
        <w:t>35768</w:t>
      </w:r>
      <w:r>
        <w:rPr>
          <w:rFonts w:hint="eastAsia" w:ascii="仿宋_GB2312" w:hAnsi="仿宋_GB2312" w:eastAsia="仿宋_GB2312" w:cs="仿宋_GB2312"/>
          <w:bCs/>
          <w:sz w:val="32"/>
          <w:szCs w:val="32"/>
        </w:rPr>
        <w:t>元。</w:t>
      </w:r>
    </w:p>
    <w:p>
      <w:pPr>
        <w:pStyle w:val="5"/>
        <w:spacing w:line="560" w:lineRule="exact"/>
        <w:ind w:firstLine="480" w:firstLineChars="200"/>
        <w:jc w:val="left"/>
        <w:rPr>
          <w:rFonts w:eastAsia="黑体"/>
          <w:color w:val="000000"/>
          <w:sz w:val="32"/>
          <w:szCs w:val="32"/>
        </w:rPr>
      </w:pPr>
      <w:r>
        <w:drawing>
          <wp:anchor distT="0" distB="0" distL="114300" distR="114300" simplePos="0" relativeHeight="251667456" behindDoc="0" locked="0" layoutInCell="1" allowOverlap="1">
            <wp:simplePos x="0" y="0"/>
            <wp:positionH relativeFrom="column">
              <wp:posOffset>33020</wp:posOffset>
            </wp:positionH>
            <wp:positionV relativeFrom="paragraph">
              <wp:posOffset>41275</wp:posOffset>
            </wp:positionV>
            <wp:extent cx="5229860" cy="2351405"/>
            <wp:effectExtent l="4445" t="4445" r="23495" b="635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5"/>
        <w:spacing w:line="560" w:lineRule="exact"/>
        <w:ind w:firstLine="640" w:firstLineChars="200"/>
        <w:jc w:val="left"/>
        <w:rPr>
          <w:rFonts w:eastAsia="黑体"/>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line="540" w:lineRule="exact"/>
        <w:jc w:val="both"/>
        <w:textAlignment w:val="auto"/>
        <w:rPr>
          <w:rFonts w:eastAsia="黑体"/>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r>
        <w:rPr>
          <w:rFonts w:hint="eastAsia" w:eastAsia="黑体"/>
          <w:color w:val="000000"/>
          <w:sz w:val="32"/>
          <w:szCs w:val="32"/>
          <w:lang w:eastAsia="zh-CN"/>
        </w:rPr>
        <w:t>二</w:t>
      </w:r>
      <w:r>
        <w:rPr>
          <w:rFonts w:eastAsia="黑体"/>
          <w:color w:val="000000"/>
          <w:sz w:val="32"/>
          <w:szCs w:val="32"/>
        </w:rPr>
        <w:t>、农业</w:t>
      </w:r>
    </w:p>
    <w:p>
      <w:pPr>
        <w:pStyle w:val="5"/>
        <w:spacing w:before="0" w:line="560" w:lineRule="exact"/>
        <w:ind w:firstLine="640"/>
        <w:jc w:val="both"/>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sz w:val="32"/>
          <w:szCs w:val="32"/>
        </w:rPr>
        <w:t>全年全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农林牧渔业</w:t>
      </w:r>
      <w:r>
        <w:rPr>
          <w:rFonts w:hint="eastAsia" w:ascii="仿宋_GB2312" w:hAnsi="仿宋_GB2312" w:eastAsia="仿宋_GB2312" w:cs="仿宋_GB2312"/>
          <w:sz w:val="32"/>
          <w:szCs w:val="32"/>
          <w:lang w:val="en-US" w:eastAsia="zh-CN"/>
        </w:rPr>
        <w:t>总产值86.07</w:t>
      </w:r>
      <w:r>
        <w:rPr>
          <w:rFonts w:hint="eastAsia" w:ascii="仿宋_GB2312" w:hAnsi="仿宋_GB2312" w:eastAsia="仿宋_GB2312" w:cs="仿宋_GB2312"/>
          <w:sz w:val="32"/>
          <w:szCs w:val="32"/>
        </w:rPr>
        <w:t>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种植业</w:t>
      </w:r>
      <w:r>
        <w:rPr>
          <w:rFonts w:hint="eastAsia" w:ascii="仿宋_GB2312" w:hAnsi="仿宋_GB2312" w:eastAsia="仿宋_GB2312" w:cs="仿宋_GB2312"/>
          <w:sz w:val="32"/>
          <w:szCs w:val="32"/>
          <w:lang w:val="en-US" w:eastAsia="zh-CN"/>
        </w:rPr>
        <w:t>总产值37.48</w:t>
      </w:r>
      <w:r>
        <w:rPr>
          <w:rFonts w:hint="eastAsia" w:ascii="仿宋_GB2312" w:hAnsi="仿宋_GB2312" w:eastAsia="仿宋_GB2312" w:cs="仿宋_GB2312"/>
          <w:sz w:val="32"/>
          <w:szCs w:val="32"/>
        </w:rPr>
        <w:t>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%；林业</w:t>
      </w:r>
      <w:r>
        <w:rPr>
          <w:rFonts w:hint="eastAsia" w:ascii="仿宋_GB2312" w:hAnsi="仿宋_GB2312" w:eastAsia="仿宋_GB2312" w:cs="仿宋_GB2312"/>
          <w:sz w:val="32"/>
          <w:szCs w:val="32"/>
          <w:lang w:val="en-US" w:eastAsia="zh-CN"/>
        </w:rPr>
        <w:t>总产值1.19</w:t>
      </w:r>
      <w:r>
        <w:rPr>
          <w:rFonts w:hint="eastAsia" w:ascii="仿宋_GB2312" w:hAnsi="仿宋_GB2312" w:eastAsia="仿宋_GB2312" w:cs="仿宋_GB2312"/>
          <w:sz w:val="32"/>
          <w:szCs w:val="32"/>
        </w:rPr>
        <w:t>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%；畜牧业</w:t>
      </w:r>
      <w:r>
        <w:rPr>
          <w:rFonts w:hint="eastAsia" w:ascii="仿宋_GB2312" w:hAnsi="仿宋_GB2312" w:eastAsia="仿宋_GB2312" w:cs="仿宋_GB2312"/>
          <w:sz w:val="32"/>
          <w:szCs w:val="32"/>
          <w:lang w:val="en-US" w:eastAsia="zh-CN"/>
        </w:rPr>
        <w:t>总产值45.78</w:t>
      </w:r>
      <w:r>
        <w:rPr>
          <w:rFonts w:hint="eastAsia" w:ascii="仿宋_GB2312" w:hAnsi="仿宋_GB2312" w:eastAsia="仿宋_GB2312" w:cs="仿宋_GB2312"/>
          <w:sz w:val="32"/>
          <w:szCs w:val="32"/>
        </w:rPr>
        <w:t>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；渔业</w:t>
      </w:r>
      <w:r>
        <w:rPr>
          <w:rFonts w:hint="eastAsia" w:ascii="仿宋_GB2312" w:hAnsi="仿宋_GB2312" w:eastAsia="仿宋_GB2312" w:cs="仿宋_GB2312"/>
          <w:sz w:val="32"/>
          <w:szCs w:val="32"/>
          <w:lang w:val="en-US" w:eastAsia="zh-CN"/>
        </w:rPr>
        <w:t>总产值0.29</w:t>
      </w:r>
      <w:r>
        <w:rPr>
          <w:rFonts w:hint="eastAsia" w:ascii="仿宋_GB2312" w:hAnsi="仿宋_GB2312" w:eastAsia="仿宋_GB2312" w:cs="仿宋_GB2312"/>
          <w:sz w:val="32"/>
          <w:szCs w:val="32"/>
        </w:rPr>
        <w:t>亿元，</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仿宋_GB2312" w:hAnsi="仿宋_GB2312" w:eastAsia="仿宋_GB2312"/>
          <w:bCs/>
          <w:sz w:val="32"/>
          <w:szCs w:val="32"/>
        </w:rPr>
      </w:pPr>
      <w:r>
        <w:rPr>
          <w:rFonts w:hint="eastAsia" w:ascii="仿宋_GB2312" w:hAnsi="仿宋_GB2312" w:eastAsia="仿宋_GB2312" w:cs="仿宋_GB2312"/>
          <w:kern w:val="0"/>
          <w:sz w:val="32"/>
          <w:szCs w:val="32"/>
          <w:lang w:val="en-US" w:eastAsia="zh-CN"/>
        </w:rPr>
        <w:t>2020年</w:t>
      </w:r>
      <w:r>
        <w:rPr>
          <w:rFonts w:hint="eastAsia" w:ascii="仿宋_GB2312" w:hAnsi="仿宋_GB2312" w:eastAsia="仿宋_GB2312" w:cs="仿宋_GB2312"/>
          <w:kern w:val="0"/>
          <w:sz w:val="32"/>
          <w:szCs w:val="32"/>
        </w:rPr>
        <w:t>全</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农林渔牧业</w:t>
      </w:r>
      <w:r>
        <w:rPr>
          <w:rFonts w:hint="eastAsia" w:ascii="仿宋_GB2312" w:hAnsi="仿宋_GB2312" w:eastAsia="仿宋_GB2312" w:cs="仿宋_GB2312"/>
          <w:kern w:val="0"/>
          <w:sz w:val="32"/>
          <w:szCs w:val="32"/>
          <w:lang w:eastAsia="zh-CN"/>
        </w:rPr>
        <w:t>总产值情况</w:t>
      </w:r>
    </w:p>
    <w:tbl>
      <w:tblPr>
        <w:tblStyle w:val="6"/>
        <w:tblW w:w="8085" w:type="dxa"/>
        <w:tblInd w:w="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40"/>
        <w:gridCol w:w="1395"/>
        <w:gridCol w:w="108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940" w:type="dxa"/>
            <w:tcBorders>
              <w:top w:val="nil"/>
              <w:left w:val="single" w:color="9BC2E6" w:sz="4" w:space="0"/>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395" w:type="dxa"/>
            <w:tcBorders>
              <w:top w:val="nil"/>
              <w:left w:val="nil"/>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绝对值（亿元）</w:t>
            </w:r>
          </w:p>
        </w:tc>
        <w:tc>
          <w:tcPr>
            <w:tcW w:w="1080" w:type="dxa"/>
            <w:tcBorders>
              <w:top w:val="nil"/>
              <w:left w:val="nil"/>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增长（%）</w:t>
            </w:r>
          </w:p>
        </w:tc>
        <w:tc>
          <w:tcPr>
            <w:tcW w:w="2670" w:type="dxa"/>
            <w:tcBorders>
              <w:top w:val="nil"/>
              <w:left w:val="nil"/>
              <w:bottom w:val="nil"/>
              <w:right w:val="single" w:color="9BC2E6" w:sz="4"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占农林牧渔业增加值比重（%）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40" w:type="dxa"/>
            <w:tcBorders>
              <w:top w:val="nil"/>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农林牧渔业总产值</w:t>
            </w:r>
          </w:p>
        </w:tc>
        <w:tc>
          <w:tcPr>
            <w:tcW w:w="1395" w:type="dxa"/>
            <w:tcBorders>
              <w:top w:val="nil"/>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86.07</w:t>
            </w:r>
          </w:p>
        </w:tc>
        <w:tc>
          <w:tcPr>
            <w:tcW w:w="1080" w:type="dxa"/>
            <w:tcBorders>
              <w:top w:val="nil"/>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2670" w:type="dxa"/>
            <w:tcBorders>
              <w:top w:val="nil"/>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40" w:type="dxa"/>
            <w:tcBorders>
              <w:top w:val="nil"/>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种植业</w:t>
            </w:r>
          </w:p>
        </w:tc>
        <w:tc>
          <w:tcPr>
            <w:tcW w:w="13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37.48</w:t>
            </w:r>
          </w:p>
        </w:tc>
        <w:tc>
          <w:tcPr>
            <w:tcW w:w="10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670" w:type="dxa"/>
            <w:tcBorders>
              <w:top w:val="nil"/>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40" w:type="dxa"/>
            <w:tcBorders>
              <w:top w:val="nil"/>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  业</w:t>
            </w:r>
          </w:p>
        </w:tc>
        <w:tc>
          <w:tcPr>
            <w:tcW w:w="1395" w:type="dxa"/>
            <w:tcBorders>
              <w:top w:val="nil"/>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080" w:type="dxa"/>
            <w:tcBorders>
              <w:top w:val="nil"/>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2670" w:type="dxa"/>
            <w:tcBorders>
              <w:top w:val="nil"/>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40" w:type="dxa"/>
            <w:tcBorders>
              <w:top w:val="nil"/>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畜牧业</w:t>
            </w:r>
          </w:p>
        </w:tc>
        <w:tc>
          <w:tcPr>
            <w:tcW w:w="13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45.78</w:t>
            </w:r>
          </w:p>
        </w:tc>
        <w:tc>
          <w:tcPr>
            <w:tcW w:w="10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2670" w:type="dxa"/>
            <w:tcBorders>
              <w:top w:val="nil"/>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40" w:type="dxa"/>
            <w:tcBorders>
              <w:top w:val="nil"/>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  业</w:t>
            </w:r>
          </w:p>
        </w:tc>
        <w:tc>
          <w:tcPr>
            <w:tcW w:w="1395" w:type="dxa"/>
            <w:tcBorders>
              <w:top w:val="nil"/>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0.29</w:t>
            </w:r>
          </w:p>
        </w:tc>
        <w:tc>
          <w:tcPr>
            <w:tcW w:w="1080" w:type="dxa"/>
            <w:tcBorders>
              <w:top w:val="nil"/>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2670" w:type="dxa"/>
            <w:tcBorders>
              <w:top w:val="nil"/>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2940" w:type="dxa"/>
            <w:tcBorders>
              <w:top w:val="nil"/>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农林牧渔专业及辅助性活动</w:t>
            </w:r>
          </w:p>
        </w:tc>
        <w:tc>
          <w:tcPr>
            <w:tcW w:w="13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0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670" w:type="dxa"/>
            <w:tcBorders>
              <w:top w:val="nil"/>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 xml:space="preserve"> </w:t>
            </w:r>
          </w:p>
        </w:tc>
      </w:tr>
    </w:tbl>
    <w:p>
      <w:pPr>
        <w:pStyle w:val="5"/>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全年</w:t>
      </w:r>
      <w:r>
        <w:rPr>
          <w:rFonts w:hint="eastAsia" w:ascii="仿宋_GB2312" w:hAnsi="仿宋_GB2312" w:eastAsia="仿宋_GB2312" w:cs="仿宋_GB2312"/>
          <w:color w:val="000000"/>
          <w:sz w:val="32"/>
          <w:szCs w:val="32"/>
        </w:rPr>
        <w:t>粮食种植面积</w:t>
      </w:r>
      <w:r>
        <w:rPr>
          <w:rFonts w:hint="eastAsia" w:ascii="仿宋_GB2312" w:hAnsi="仿宋_GB2312" w:eastAsia="仿宋_GB2312" w:cs="仿宋_GB2312"/>
          <w:color w:val="000000"/>
          <w:sz w:val="32"/>
          <w:szCs w:val="32"/>
          <w:lang w:val="en-US" w:eastAsia="zh-CN"/>
        </w:rPr>
        <w:t>110.33</w:t>
      </w:r>
      <w:r>
        <w:rPr>
          <w:rFonts w:hint="eastAsia" w:ascii="仿宋_GB2312" w:hAnsi="仿宋_GB2312" w:eastAsia="仿宋_GB2312" w:cs="仿宋_GB2312"/>
          <w:color w:val="000000"/>
          <w:sz w:val="32"/>
          <w:szCs w:val="32"/>
        </w:rPr>
        <w:t>万亩，</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1.54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其中，水稻种植面积</w:t>
      </w:r>
      <w:r>
        <w:rPr>
          <w:rFonts w:hint="eastAsia" w:ascii="仿宋_GB2312" w:hAnsi="仿宋_GB2312" w:eastAsia="仿宋_GB2312" w:cs="仿宋_GB2312"/>
          <w:color w:val="000000"/>
          <w:sz w:val="32"/>
          <w:szCs w:val="32"/>
          <w:lang w:val="en-US" w:eastAsia="zh-CN"/>
        </w:rPr>
        <w:t>16.29万亩，</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-4.17%；玉米种植面积7.80万亩，</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21.49%；高粱种植面积22.24万亩，</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9.48%；小麦种植面积10.73万亩，</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6.75%。经济作物种植面积53.50万亩，其中油料种植面积7.28万亩，</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2.35%；</w:t>
      </w:r>
      <w:r>
        <w:rPr>
          <w:rFonts w:hint="eastAsia" w:ascii="仿宋_GB2312" w:hAnsi="仿宋_GB2312" w:eastAsia="仿宋_GB2312" w:cs="仿宋_GB2312"/>
          <w:color w:val="000000"/>
          <w:sz w:val="32"/>
          <w:szCs w:val="32"/>
        </w:rPr>
        <w:t>蔬菜</w:t>
      </w:r>
      <w:r>
        <w:rPr>
          <w:rFonts w:hint="eastAsia" w:ascii="仿宋_GB2312" w:hAnsi="仿宋_GB2312" w:eastAsia="仿宋_GB2312" w:cs="仿宋_GB2312"/>
          <w:color w:val="000000"/>
          <w:sz w:val="32"/>
          <w:szCs w:val="32"/>
          <w:lang w:eastAsia="zh-CN"/>
        </w:rPr>
        <w:t>及食用菌种植面积</w:t>
      </w:r>
      <w:r>
        <w:rPr>
          <w:rFonts w:hint="eastAsia" w:ascii="仿宋_GB2312" w:hAnsi="仿宋_GB2312" w:eastAsia="仿宋_GB2312" w:cs="仿宋_GB2312"/>
          <w:color w:val="000000"/>
          <w:sz w:val="32"/>
          <w:szCs w:val="32"/>
          <w:lang w:val="en-US" w:eastAsia="zh-CN"/>
        </w:rPr>
        <w:t>32.86</w:t>
      </w:r>
      <w:r>
        <w:rPr>
          <w:rFonts w:hint="eastAsia" w:ascii="仿宋_GB2312" w:hAnsi="仿宋_GB2312" w:eastAsia="仿宋_GB2312" w:cs="仿宋_GB2312"/>
          <w:color w:val="000000"/>
          <w:sz w:val="32"/>
          <w:szCs w:val="32"/>
        </w:rPr>
        <w:t>万亩，</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16.26%；中草药材种植面积2.52万亩，</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28.26%</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80" w:firstLineChars="4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年粮食作物种植面积及其增长速度</w:t>
      </w:r>
    </w:p>
    <w:tbl>
      <w:tblPr>
        <w:tblStyle w:val="6"/>
        <w:tblW w:w="83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31"/>
        <w:gridCol w:w="2415"/>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631" w:type="dxa"/>
            <w:tcBorders>
              <w:top w:val="nil"/>
              <w:left w:val="single" w:color="9BC2E6" w:sz="4" w:space="0"/>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2415" w:type="dxa"/>
            <w:tcBorders>
              <w:top w:val="nil"/>
              <w:left w:val="nil"/>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种植面积（万亩）</w:t>
            </w:r>
          </w:p>
        </w:tc>
        <w:tc>
          <w:tcPr>
            <w:tcW w:w="3300" w:type="dxa"/>
            <w:tcBorders>
              <w:top w:val="nil"/>
              <w:left w:val="nil"/>
              <w:bottom w:val="nil"/>
              <w:right w:val="single" w:color="9BC2E6" w:sz="4"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粮食作物</w:t>
            </w:r>
          </w:p>
        </w:tc>
        <w:tc>
          <w:tcPr>
            <w:tcW w:w="241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110.33 </w:t>
            </w:r>
          </w:p>
        </w:tc>
        <w:tc>
          <w:tcPr>
            <w:tcW w:w="330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一、谷物</w:t>
            </w:r>
          </w:p>
        </w:tc>
        <w:tc>
          <w:tcPr>
            <w:tcW w:w="241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65.76 </w:t>
            </w:r>
          </w:p>
        </w:tc>
        <w:tc>
          <w:tcPr>
            <w:tcW w:w="330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（一）稻谷</w:t>
            </w:r>
          </w:p>
        </w:tc>
        <w:tc>
          <w:tcPr>
            <w:tcW w:w="241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16.29 </w:t>
            </w:r>
          </w:p>
        </w:tc>
        <w:tc>
          <w:tcPr>
            <w:tcW w:w="330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（二）小麦</w:t>
            </w:r>
          </w:p>
        </w:tc>
        <w:tc>
          <w:tcPr>
            <w:tcW w:w="241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10.73 </w:t>
            </w:r>
          </w:p>
        </w:tc>
        <w:tc>
          <w:tcPr>
            <w:tcW w:w="330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（三）玉米</w:t>
            </w:r>
          </w:p>
        </w:tc>
        <w:tc>
          <w:tcPr>
            <w:tcW w:w="241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7.80 </w:t>
            </w:r>
          </w:p>
        </w:tc>
        <w:tc>
          <w:tcPr>
            <w:tcW w:w="330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（四）其他谷物</w:t>
            </w:r>
          </w:p>
        </w:tc>
        <w:tc>
          <w:tcPr>
            <w:tcW w:w="241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30.93 </w:t>
            </w:r>
          </w:p>
        </w:tc>
        <w:tc>
          <w:tcPr>
            <w:tcW w:w="330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二、豆类</w:t>
            </w:r>
          </w:p>
        </w:tc>
        <w:tc>
          <w:tcPr>
            <w:tcW w:w="241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9.15 </w:t>
            </w:r>
          </w:p>
        </w:tc>
        <w:tc>
          <w:tcPr>
            <w:tcW w:w="330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（一）大豆</w:t>
            </w:r>
          </w:p>
        </w:tc>
        <w:tc>
          <w:tcPr>
            <w:tcW w:w="241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6.94 </w:t>
            </w:r>
          </w:p>
        </w:tc>
        <w:tc>
          <w:tcPr>
            <w:tcW w:w="330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（二）绿豆</w:t>
            </w:r>
          </w:p>
        </w:tc>
        <w:tc>
          <w:tcPr>
            <w:tcW w:w="241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330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（三）红小豆</w:t>
            </w:r>
          </w:p>
        </w:tc>
        <w:tc>
          <w:tcPr>
            <w:tcW w:w="241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0.01 </w:t>
            </w:r>
          </w:p>
        </w:tc>
        <w:tc>
          <w:tcPr>
            <w:tcW w:w="330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（四）其他杂豆</w:t>
            </w:r>
          </w:p>
        </w:tc>
        <w:tc>
          <w:tcPr>
            <w:tcW w:w="241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 </w:t>
            </w:r>
          </w:p>
        </w:tc>
        <w:tc>
          <w:tcPr>
            <w:tcW w:w="330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三、薯类</w:t>
            </w:r>
          </w:p>
        </w:tc>
        <w:tc>
          <w:tcPr>
            <w:tcW w:w="241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35.43 </w:t>
            </w:r>
          </w:p>
        </w:tc>
        <w:tc>
          <w:tcPr>
            <w:tcW w:w="330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（一）马铃薯</w:t>
            </w:r>
          </w:p>
        </w:tc>
        <w:tc>
          <w:tcPr>
            <w:tcW w:w="241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26.55 </w:t>
            </w:r>
          </w:p>
        </w:tc>
        <w:tc>
          <w:tcPr>
            <w:tcW w:w="330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31"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（二）甘  薯</w:t>
            </w:r>
          </w:p>
        </w:tc>
        <w:tc>
          <w:tcPr>
            <w:tcW w:w="241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8.88 </w:t>
            </w:r>
          </w:p>
        </w:tc>
        <w:tc>
          <w:tcPr>
            <w:tcW w:w="330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-6.82 </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80" w:firstLineChars="4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年经济作物种植面积及其增长速度</w:t>
      </w:r>
    </w:p>
    <w:tbl>
      <w:tblPr>
        <w:tblStyle w:val="6"/>
        <w:tblW w:w="83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96"/>
        <w:gridCol w:w="2700"/>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796" w:type="dxa"/>
            <w:tcBorders>
              <w:top w:val="nil"/>
              <w:left w:val="single" w:color="9BC2E6" w:sz="4" w:space="0"/>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2700" w:type="dxa"/>
            <w:tcBorders>
              <w:top w:val="nil"/>
              <w:left w:val="nil"/>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经济作物播种面积（万亩）</w:t>
            </w:r>
          </w:p>
        </w:tc>
        <w:tc>
          <w:tcPr>
            <w:tcW w:w="2865" w:type="dxa"/>
            <w:tcBorders>
              <w:top w:val="nil"/>
              <w:left w:val="nil"/>
              <w:bottom w:val="nil"/>
              <w:right w:val="single" w:color="9BC2E6" w:sz="4"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经济作物</w:t>
            </w:r>
          </w:p>
        </w:tc>
        <w:tc>
          <w:tcPr>
            <w:tcW w:w="2700"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53.50 </w:t>
            </w:r>
          </w:p>
        </w:tc>
        <w:tc>
          <w:tcPr>
            <w:tcW w:w="2865"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一、油料</w:t>
            </w:r>
          </w:p>
        </w:tc>
        <w:tc>
          <w:tcPr>
            <w:tcW w:w="2700"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7.28 </w:t>
            </w:r>
          </w:p>
        </w:tc>
        <w:tc>
          <w:tcPr>
            <w:tcW w:w="2865"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（一）花  生</w:t>
            </w:r>
          </w:p>
        </w:tc>
        <w:tc>
          <w:tcPr>
            <w:tcW w:w="2700"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0.54 </w:t>
            </w:r>
          </w:p>
        </w:tc>
        <w:tc>
          <w:tcPr>
            <w:tcW w:w="2865"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（二）油菜籽</w:t>
            </w:r>
          </w:p>
        </w:tc>
        <w:tc>
          <w:tcPr>
            <w:tcW w:w="2700"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 </w:t>
            </w:r>
          </w:p>
        </w:tc>
        <w:tc>
          <w:tcPr>
            <w:tcW w:w="2865"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二、糖料</w:t>
            </w:r>
          </w:p>
        </w:tc>
        <w:tc>
          <w:tcPr>
            <w:tcW w:w="2700"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0.13 </w:t>
            </w:r>
          </w:p>
        </w:tc>
        <w:tc>
          <w:tcPr>
            <w:tcW w:w="2865"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（一）甘  蔗</w:t>
            </w:r>
          </w:p>
        </w:tc>
        <w:tc>
          <w:tcPr>
            <w:tcW w:w="2700"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0.13 </w:t>
            </w:r>
          </w:p>
        </w:tc>
        <w:tc>
          <w:tcPr>
            <w:tcW w:w="2865"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三、烟叶（未加工烟草）</w:t>
            </w:r>
          </w:p>
        </w:tc>
        <w:tc>
          <w:tcPr>
            <w:tcW w:w="2700"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0.79 </w:t>
            </w:r>
          </w:p>
        </w:tc>
        <w:tc>
          <w:tcPr>
            <w:tcW w:w="2865"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96"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其中：烤烟（未去梗烤烟叶）</w:t>
            </w:r>
          </w:p>
        </w:tc>
        <w:tc>
          <w:tcPr>
            <w:tcW w:w="2700"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0.69 </w:t>
            </w:r>
          </w:p>
        </w:tc>
        <w:tc>
          <w:tcPr>
            <w:tcW w:w="2865"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四、中草药材</w:t>
            </w:r>
          </w:p>
        </w:tc>
        <w:tc>
          <w:tcPr>
            <w:tcW w:w="2700"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 </w:t>
            </w:r>
          </w:p>
        </w:tc>
        <w:tc>
          <w:tcPr>
            <w:tcW w:w="2865"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五、蔬菜及食用菌</w:t>
            </w:r>
          </w:p>
        </w:tc>
        <w:tc>
          <w:tcPr>
            <w:tcW w:w="2700"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32.86 </w:t>
            </w:r>
          </w:p>
        </w:tc>
        <w:tc>
          <w:tcPr>
            <w:tcW w:w="2865"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六、瓜果类</w:t>
            </w:r>
          </w:p>
        </w:tc>
        <w:tc>
          <w:tcPr>
            <w:tcW w:w="2700"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0.48 </w:t>
            </w:r>
          </w:p>
        </w:tc>
        <w:tc>
          <w:tcPr>
            <w:tcW w:w="2865"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96"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七、其他农作物</w:t>
            </w:r>
          </w:p>
        </w:tc>
        <w:tc>
          <w:tcPr>
            <w:tcW w:w="2700"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9.43 </w:t>
            </w:r>
          </w:p>
        </w:tc>
        <w:tc>
          <w:tcPr>
            <w:tcW w:w="2865"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23.63 </w:t>
            </w:r>
          </w:p>
        </w:tc>
      </w:tr>
    </w:tbl>
    <w:p>
      <w:pPr>
        <w:pStyle w:val="5"/>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全年粮食总产量</w:t>
      </w:r>
      <w:r>
        <w:rPr>
          <w:rFonts w:hint="eastAsia" w:ascii="仿宋_GB2312" w:hAnsi="仿宋_GB2312" w:eastAsia="仿宋_GB2312" w:cs="仿宋_GB2312"/>
          <w:color w:val="000000"/>
          <w:sz w:val="32"/>
          <w:szCs w:val="32"/>
          <w:lang w:val="en-US" w:eastAsia="zh-CN"/>
        </w:rPr>
        <w:t>23.17</w:t>
      </w:r>
      <w:r>
        <w:rPr>
          <w:rFonts w:hint="eastAsia" w:ascii="仿宋_GB2312" w:hAnsi="仿宋_GB2312" w:eastAsia="仿宋_GB2312" w:cs="仿宋_GB2312"/>
          <w:color w:val="000000"/>
          <w:sz w:val="32"/>
          <w:szCs w:val="32"/>
        </w:rPr>
        <w:t>万吨</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0.3%</w:t>
      </w:r>
      <w:r>
        <w:rPr>
          <w:rFonts w:hint="eastAsia" w:ascii="仿宋_GB2312" w:hAnsi="仿宋_GB2312" w:eastAsia="仿宋_GB2312" w:cs="仿宋_GB2312"/>
          <w:color w:val="000000"/>
          <w:sz w:val="32"/>
          <w:szCs w:val="32"/>
        </w:rPr>
        <w:t>。其中，稻谷产量</w:t>
      </w:r>
      <w:r>
        <w:rPr>
          <w:rFonts w:hint="eastAsia" w:ascii="仿宋_GB2312" w:hAnsi="仿宋_GB2312" w:eastAsia="仿宋_GB2312" w:cs="仿宋_GB2312"/>
          <w:color w:val="000000"/>
          <w:sz w:val="32"/>
          <w:szCs w:val="32"/>
          <w:lang w:val="en-US" w:eastAsia="zh-CN"/>
        </w:rPr>
        <w:t>6.21</w:t>
      </w:r>
      <w:r>
        <w:rPr>
          <w:rFonts w:hint="eastAsia" w:ascii="仿宋_GB2312" w:hAnsi="仿宋_GB2312" w:eastAsia="仿宋_GB2312" w:cs="仿宋_GB2312"/>
          <w:color w:val="000000"/>
          <w:sz w:val="32"/>
          <w:szCs w:val="32"/>
        </w:rPr>
        <w:t>万吨</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-10.4%</w:t>
      </w:r>
      <w:r>
        <w:rPr>
          <w:rFonts w:hint="eastAsia" w:ascii="仿宋_GB2312" w:hAnsi="仿宋_GB2312" w:eastAsia="仿宋_GB2312" w:cs="仿宋_GB2312"/>
          <w:color w:val="000000"/>
          <w:sz w:val="32"/>
          <w:szCs w:val="32"/>
        </w:rPr>
        <w:t>；玉米产量</w:t>
      </w:r>
      <w:r>
        <w:rPr>
          <w:rFonts w:hint="eastAsia" w:ascii="仿宋_GB2312" w:hAnsi="仿宋_GB2312" w:eastAsia="仿宋_GB2312" w:cs="仿宋_GB2312"/>
          <w:color w:val="000000"/>
          <w:sz w:val="32"/>
          <w:szCs w:val="32"/>
          <w:lang w:val="en-US" w:eastAsia="zh-CN"/>
        </w:rPr>
        <w:t>2.23</w:t>
      </w:r>
      <w:r>
        <w:rPr>
          <w:rFonts w:hint="eastAsia" w:ascii="仿宋_GB2312" w:hAnsi="仿宋_GB2312" w:eastAsia="仿宋_GB2312" w:cs="仿宋_GB2312"/>
          <w:color w:val="000000"/>
          <w:sz w:val="32"/>
          <w:szCs w:val="32"/>
        </w:rPr>
        <w:t>万吨</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-9.3%</w:t>
      </w:r>
      <w:r>
        <w:rPr>
          <w:rFonts w:hint="eastAsia" w:ascii="仿宋_GB2312" w:hAnsi="仿宋_GB2312" w:eastAsia="仿宋_GB2312" w:cs="仿宋_GB2312"/>
          <w:color w:val="000000"/>
          <w:sz w:val="32"/>
          <w:szCs w:val="32"/>
        </w:rPr>
        <w:t>。主要经济作物中，蔬菜及食用菌产量</w:t>
      </w:r>
      <w:r>
        <w:rPr>
          <w:rFonts w:hint="eastAsia" w:ascii="仿宋_GB2312" w:hAnsi="仿宋_GB2312" w:eastAsia="仿宋_GB2312" w:cs="仿宋_GB2312"/>
          <w:color w:val="000000"/>
          <w:sz w:val="32"/>
          <w:szCs w:val="32"/>
          <w:lang w:val="en-US" w:eastAsia="zh-CN"/>
        </w:rPr>
        <w:t>34.38</w:t>
      </w:r>
      <w:r>
        <w:rPr>
          <w:rFonts w:hint="eastAsia" w:ascii="仿宋_GB2312" w:hAnsi="仿宋_GB2312" w:eastAsia="仿宋_GB2312" w:cs="仿宋_GB2312"/>
          <w:color w:val="000000"/>
          <w:sz w:val="32"/>
          <w:szCs w:val="32"/>
        </w:rPr>
        <w:t>万吨</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21.7%</w:t>
      </w:r>
      <w:r>
        <w:rPr>
          <w:rFonts w:hint="eastAsia" w:ascii="仿宋_GB2312" w:hAnsi="仿宋_GB2312" w:eastAsia="仿宋_GB2312" w:cs="仿宋_GB2312"/>
          <w:color w:val="000000"/>
          <w:sz w:val="32"/>
          <w:szCs w:val="32"/>
        </w:rPr>
        <w:t>；园林水果产量</w:t>
      </w:r>
      <w:r>
        <w:rPr>
          <w:rFonts w:hint="eastAsia" w:ascii="仿宋_GB2312" w:hAnsi="仿宋_GB2312" w:eastAsia="仿宋_GB2312" w:cs="仿宋_GB2312"/>
          <w:color w:val="000000"/>
          <w:sz w:val="32"/>
          <w:szCs w:val="32"/>
          <w:lang w:val="en-US" w:eastAsia="zh-CN"/>
        </w:rPr>
        <w:t>13.38</w:t>
      </w:r>
      <w:r>
        <w:rPr>
          <w:rFonts w:hint="eastAsia" w:ascii="仿宋_GB2312" w:hAnsi="仿宋_GB2312" w:eastAsia="仿宋_GB2312" w:cs="仿宋_GB2312"/>
          <w:color w:val="000000"/>
          <w:sz w:val="32"/>
          <w:szCs w:val="32"/>
        </w:rPr>
        <w:t>万吨，</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25.9</w:t>
      </w:r>
      <w:r>
        <w:rPr>
          <w:rFonts w:hint="eastAsia" w:ascii="仿宋_GB2312" w:hAnsi="仿宋_GB2312" w:eastAsia="仿宋_GB2312" w:cs="仿宋_GB2312"/>
          <w:color w:val="000000"/>
          <w:sz w:val="32"/>
          <w:szCs w:val="32"/>
        </w:rPr>
        <w:t>%；中药材产量</w:t>
      </w:r>
      <w:r>
        <w:rPr>
          <w:rFonts w:hint="eastAsia" w:ascii="仿宋_GB2312" w:hAnsi="仿宋_GB2312" w:eastAsia="仿宋_GB2312" w:cs="仿宋_GB2312"/>
          <w:color w:val="000000"/>
          <w:sz w:val="32"/>
          <w:szCs w:val="32"/>
          <w:lang w:val="en-US" w:eastAsia="zh-CN"/>
        </w:rPr>
        <w:t>0.83</w:t>
      </w:r>
      <w:r>
        <w:rPr>
          <w:rFonts w:hint="eastAsia" w:ascii="仿宋_GB2312" w:hAnsi="仿宋_GB2312" w:eastAsia="仿宋_GB2312" w:cs="仿宋_GB2312"/>
          <w:color w:val="000000"/>
          <w:sz w:val="32"/>
          <w:szCs w:val="32"/>
        </w:rPr>
        <w:t>万吨，</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35.4</w:t>
      </w:r>
      <w:r>
        <w:rPr>
          <w:rFonts w:hint="eastAsia" w:ascii="仿宋_GB2312" w:hAnsi="仿宋_GB2312" w:eastAsia="仿宋_GB2312" w:cs="仿宋_GB2312"/>
          <w:color w:val="000000"/>
          <w:sz w:val="32"/>
          <w:szCs w:val="32"/>
        </w:rPr>
        <w:t>%。</w:t>
      </w: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猪牛羊禽肉产量</w:t>
      </w:r>
      <w:r>
        <w:rPr>
          <w:rFonts w:hint="eastAsia" w:ascii="仿宋_GB2312" w:hAnsi="仿宋_GB2312" w:eastAsia="仿宋_GB2312" w:cs="仿宋_GB2312"/>
          <w:color w:val="000000"/>
          <w:sz w:val="32"/>
          <w:szCs w:val="32"/>
          <w:lang w:val="en-US" w:eastAsia="zh-CN"/>
        </w:rPr>
        <w:t>8.05</w:t>
      </w:r>
      <w:r>
        <w:rPr>
          <w:rFonts w:hint="eastAsia" w:ascii="仿宋_GB2312" w:hAnsi="仿宋_GB2312" w:eastAsia="仿宋_GB2312" w:cs="仿宋_GB2312"/>
          <w:color w:val="000000"/>
          <w:sz w:val="32"/>
          <w:szCs w:val="32"/>
        </w:rPr>
        <w:t>万吨，</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13.6</w:t>
      </w:r>
      <w:r>
        <w:rPr>
          <w:rFonts w:hint="eastAsia" w:ascii="仿宋_GB2312" w:hAnsi="仿宋_GB2312" w:eastAsia="仿宋_GB2312" w:cs="仿宋_GB2312"/>
          <w:color w:val="000000"/>
          <w:sz w:val="32"/>
          <w:szCs w:val="32"/>
        </w:rPr>
        <w:t>%。年末猪存栏</w:t>
      </w:r>
      <w:r>
        <w:rPr>
          <w:rFonts w:hint="eastAsia" w:ascii="仿宋_GB2312" w:hAnsi="仿宋_GB2312" w:eastAsia="仿宋_GB2312" w:cs="仿宋_GB2312"/>
          <w:color w:val="000000"/>
          <w:sz w:val="32"/>
          <w:szCs w:val="32"/>
          <w:lang w:val="en-US" w:eastAsia="zh-CN"/>
        </w:rPr>
        <w:t>63.60</w:t>
      </w:r>
      <w:r>
        <w:rPr>
          <w:rFonts w:hint="eastAsia" w:ascii="仿宋_GB2312" w:hAnsi="仿宋_GB2312" w:eastAsia="仿宋_GB2312" w:cs="仿宋_GB2312"/>
          <w:color w:val="000000"/>
          <w:sz w:val="32"/>
          <w:szCs w:val="32"/>
        </w:rPr>
        <w:t>万头，</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23.8</w:t>
      </w:r>
      <w:r>
        <w:rPr>
          <w:rFonts w:hint="eastAsia" w:ascii="仿宋_GB2312" w:hAnsi="仿宋_GB2312" w:eastAsia="仿宋_GB2312" w:cs="仿宋_GB2312"/>
          <w:color w:val="000000"/>
          <w:sz w:val="32"/>
          <w:szCs w:val="32"/>
        </w:rPr>
        <w:t>%；牛存栏</w:t>
      </w:r>
      <w:r>
        <w:rPr>
          <w:rFonts w:hint="eastAsia" w:ascii="仿宋_GB2312" w:hAnsi="仿宋_GB2312" w:eastAsia="仿宋_GB2312" w:cs="仿宋_GB2312"/>
          <w:color w:val="000000"/>
          <w:sz w:val="32"/>
          <w:szCs w:val="32"/>
          <w:lang w:val="en-US" w:eastAsia="zh-CN"/>
        </w:rPr>
        <w:t>13.53</w:t>
      </w:r>
      <w:r>
        <w:rPr>
          <w:rFonts w:hint="eastAsia" w:ascii="仿宋_GB2312" w:hAnsi="仿宋_GB2312" w:eastAsia="仿宋_GB2312" w:cs="仿宋_GB2312"/>
          <w:color w:val="000000"/>
          <w:sz w:val="32"/>
          <w:szCs w:val="32"/>
        </w:rPr>
        <w:t>万头，</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%；羊存栏</w:t>
      </w:r>
      <w:r>
        <w:rPr>
          <w:rFonts w:hint="eastAsia" w:ascii="仿宋_GB2312" w:hAnsi="仿宋_GB2312" w:eastAsia="仿宋_GB2312" w:cs="仿宋_GB2312"/>
          <w:color w:val="000000"/>
          <w:sz w:val="32"/>
          <w:szCs w:val="32"/>
          <w:lang w:val="en-US" w:eastAsia="zh-CN"/>
        </w:rPr>
        <w:t>22.48</w:t>
      </w:r>
      <w:r>
        <w:rPr>
          <w:rFonts w:hint="eastAsia" w:ascii="仿宋_GB2312" w:hAnsi="仿宋_GB2312" w:eastAsia="仿宋_GB2312" w:cs="仿宋_GB2312"/>
          <w:color w:val="000000"/>
          <w:sz w:val="32"/>
          <w:szCs w:val="32"/>
        </w:rPr>
        <w:t>万只，</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rPr>
        <w:t>%；家禽存栏</w:t>
      </w:r>
      <w:r>
        <w:rPr>
          <w:rFonts w:hint="eastAsia" w:ascii="仿宋_GB2312" w:hAnsi="仿宋_GB2312" w:eastAsia="仿宋_GB2312" w:cs="仿宋_GB2312"/>
          <w:color w:val="000000"/>
          <w:sz w:val="32"/>
          <w:szCs w:val="32"/>
          <w:lang w:val="en-US" w:eastAsia="zh-CN"/>
        </w:rPr>
        <w:t>195.41</w:t>
      </w:r>
      <w:r>
        <w:rPr>
          <w:rFonts w:hint="eastAsia" w:ascii="仿宋_GB2312" w:hAnsi="仿宋_GB2312" w:eastAsia="仿宋_GB2312" w:cs="仿宋_GB2312"/>
          <w:color w:val="000000"/>
          <w:sz w:val="32"/>
          <w:szCs w:val="32"/>
        </w:rPr>
        <w:t>万羽，</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%。全年猪出栏</w:t>
      </w:r>
      <w:r>
        <w:rPr>
          <w:rFonts w:hint="eastAsia" w:ascii="仿宋_GB2312" w:hAnsi="仿宋_GB2312" w:eastAsia="仿宋_GB2312" w:cs="仿宋_GB2312"/>
          <w:color w:val="000000"/>
          <w:sz w:val="32"/>
          <w:szCs w:val="32"/>
          <w:lang w:val="en-US" w:eastAsia="zh-CN"/>
        </w:rPr>
        <w:t>72.81</w:t>
      </w:r>
      <w:r>
        <w:rPr>
          <w:rFonts w:hint="eastAsia" w:ascii="仿宋_GB2312" w:hAnsi="仿宋_GB2312" w:eastAsia="仿宋_GB2312" w:cs="仿宋_GB2312"/>
          <w:color w:val="000000"/>
          <w:sz w:val="32"/>
          <w:szCs w:val="32"/>
        </w:rPr>
        <w:t>万头，</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14.5</w:t>
      </w:r>
      <w:r>
        <w:rPr>
          <w:rFonts w:hint="eastAsia" w:ascii="仿宋_GB2312" w:hAnsi="仿宋_GB2312" w:eastAsia="仿宋_GB2312" w:cs="仿宋_GB2312"/>
          <w:color w:val="000000"/>
          <w:sz w:val="32"/>
          <w:szCs w:val="32"/>
        </w:rPr>
        <w:t>%；牛出栏</w:t>
      </w:r>
      <w:r>
        <w:rPr>
          <w:rFonts w:hint="eastAsia" w:ascii="仿宋_GB2312" w:hAnsi="仿宋_GB2312" w:eastAsia="仿宋_GB2312" w:cs="仿宋_GB2312"/>
          <w:color w:val="000000"/>
          <w:sz w:val="32"/>
          <w:szCs w:val="32"/>
          <w:lang w:val="en-US" w:eastAsia="zh-CN"/>
        </w:rPr>
        <w:t>5.09</w:t>
      </w:r>
      <w:r>
        <w:rPr>
          <w:rFonts w:hint="eastAsia" w:ascii="仿宋_GB2312" w:hAnsi="仿宋_GB2312" w:eastAsia="仿宋_GB2312" w:cs="仿宋_GB2312"/>
          <w:color w:val="000000"/>
          <w:sz w:val="32"/>
          <w:szCs w:val="32"/>
        </w:rPr>
        <w:t>万头，</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rPr>
        <w:t>%；羊出栏</w:t>
      </w:r>
      <w:r>
        <w:rPr>
          <w:rFonts w:hint="eastAsia" w:ascii="仿宋_GB2312" w:hAnsi="仿宋_GB2312" w:eastAsia="仿宋_GB2312" w:cs="仿宋_GB2312"/>
          <w:color w:val="000000"/>
          <w:sz w:val="32"/>
          <w:szCs w:val="32"/>
          <w:lang w:val="en-US" w:eastAsia="zh-CN"/>
        </w:rPr>
        <w:t>17.99</w:t>
      </w:r>
      <w:r>
        <w:rPr>
          <w:rFonts w:hint="eastAsia" w:ascii="仿宋_GB2312" w:hAnsi="仿宋_GB2312" w:eastAsia="仿宋_GB2312" w:cs="仿宋_GB2312"/>
          <w:color w:val="000000"/>
          <w:sz w:val="32"/>
          <w:szCs w:val="32"/>
        </w:rPr>
        <w:t>万只，</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%；家禽出栏</w:t>
      </w:r>
      <w:r>
        <w:rPr>
          <w:rFonts w:hint="eastAsia" w:ascii="仿宋_GB2312" w:hAnsi="仿宋_GB2312" w:eastAsia="仿宋_GB2312" w:cs="仿宋_GB2312"/>
          <w:color w:val="000000"/>
          <w:sz w:val="32"/>
          <w:szCs w:val="32"/>
          <w:lang w:val="en-US" w:eastAsia="zh-CN"/>
        </w:rPr>
        <w:t>228.96</w:t>
      </w:r>
      <w:r>
        <w:rPr>
          <w:rFonts w:hint="eastAsia" w:ascii="仿宋_GB2312" w:hAnsi="仿宋_GB2312" w:eastAsia="仿宋_GB2312" w:cs="仿宋_GB2312"/>
          <w:color w:val="000000"/>
          <w:sz w:val="32"/>
          <w:szCs w:val="32"/>
        </w:rPr>
        <w:t>万羽，</w:t>
      </w:r>
      <w:r>
        <w:rPr>
          <w:rFonts w:hint="eastAsia" w:ascii="仿宋_GB2312" w:hAnsi="仿宋_GB2312" w:eastAsia="仿宋_GB2312" w:cs="仿宋_GB2312"/>
          <w:color w:val="000000"/>
          <w:sz w:val="32"/>
          <w:szCs w:val="32"/>
          <w:lang w:eastAsia="zh-CN"/>
        </w:rPr>
        <w:t>同比增长</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outlineLvl w:val="9"/>
        <w:rPr>
          <w:rFonts w:eastAsia="仿宋_GB2312"/>
          <w:color w:val="000000"/>
          <w:sz w:val="32"/>
          <w:szCs w:val="32"/>
        </w:rPr>
      </w:pP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主要畜产品出栏和存栏情况</w:t>
      </w:r>
    </w:p>
    <w:tbl>
      <w:tblPr>
        <w:tblStyle w:val="6"/>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5"/>
        <w:gridCol w:w="1341"/>
        <w:gridCol w:w="1500"/>
        <w:gridCol w:w="144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235" w:type="dxa"/>
            <w:tcBorders>
              <w:top w:val="nil"/>
              <w:left w:val="single" w:color="9BC2E6" w:sz="4" w:space="0"/>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341" w:type="dxa"/>
            <w:tcBorders>
              <w:top w:val="nil"/>
              <w:left w:val="nil"/>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500" w:type="dxa"/>
            <w:tcBorders>
              <w:top w:val="nil"/>
              <w:left w:val="nil"/>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2020年</w:t>
            </w:r>
          </w:p>
        </w:tc>
        <w:tc>
          <w:tcPr>
            <w:tcW w:w="1440" w:type="dxa"/>
            <w:tcBorders>
              <w:top w:val="nil"/>
              <w:left w:val="nil"/>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w:t>
            </w:r>
          </w:p>
        </w:tc>
        <w:tc>
          <w:tcPr>
            <w:tcW w:w="1740" w:type="dxa"/>
            <w:tcBorders>
              <w:top w:val="nil"/>
              <w:left w:val="nil"/>
              <w:bottom w:val="nil"/>
              <w:right w:val="single" w:color="9BC2E6" w:sz="4"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一、畜禽存栏</w:t>
            </w:r>
          </w:p>
        </w:tc>
        <w:tc>
          <w:tcPr>
            <w:tcW w:w="1341"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00"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40"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4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猪</w:t>
            </w:r>
          </w:p>
        </w:tc>
        <w:tc>
          <w:tcPr>
            <w:tcW w:w="1341"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w:t>
            </w:r>
          </w:p>
        </w:tc>
        <w:tc>
          <w:tcPr>
            <w:tcW w:w="150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636000</w:t>
            </w:r>
          </w:p>
        </w:tc>
        <w:tc>
          <w:tcPr>
            <w:tcW w:w="144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513600</w:t>
            </w:r>
          </w:p>
        </w:tc>
        <w:tc>
          <w:tcPr>
            <w:tcW w:w="1740" w:type="dxa"/>
            <w:tcBorders>
              <w:top w:val="single" w:color="9BC2E6" w:sz="4" w:space="0"/>
              <w:left w:val="nil"/>
              <w:bottom w:val="nil"/>
              <w:right w:val="single" w:color="9BC2E6"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牛</w:t>
            </w:r>
          </w:p>
        </w:tc>
        <w:tc>
          <w:tcPr>
            <w:tcW w:w="1341"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w:t>
            </w:r>
          </w:p>
        </w:tc>
        <w:tc>
          <w:tcPr>
            <w:tcW w:w="150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135282</w:t>
            </w:r>
          </w:p>
        </w:tc>
        <w:tc>
          <w:tcPr>
            <w:tcW w:w="144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126053</w:t>
            </w:r>
          </w:p>
        </w:tc>
        <w:tc>
          <w:tcPr>
            <w:tcW w:w="1740" w:type="dxa"/>
            <w:tcBorders>
              <w:top w:val="single" w:color="9BC2E6" w:sz="4" w:space="0"/>
              <w:left w:val="nil"/>
              <w:bottom w:val="nil"/>
              <w:right w:val="single" w:color="9BC2E6" w:sz="4" w:space="0"/>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羊</w:t>
            </w:r>
          </w:p>
        </w:tc>
        <w:tc>
          <w:tcPr>
            <w:tcW w:w="1341"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50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224803</w:t>
            </w:r>
          </w:p>
        </w:tc>
        <w:tc>
          <w:tcPr>
            <w:tcW w:w="144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214353</w:t>
            </w:r>
          </w:p>
        </w:tc>
        <w:tc>
          <w:tcPr>
            <w:tcW w:w="1740" w:type="dxa"/>
            <w:tcBorders>
              <w:top w:val="single" w:color="9BC2E6" w:sz="4" w:space="0"/>
              <w:left w:val="nil"/>
              <w:bottom w:val="nil"/>
              <w:right w:val="single" w:color="9BC2E6"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活家禽</w:t>
            </w:r>
          </w:p>
        </w:tc>
        <w:tc>
          <w:tcPr>
            <w:tcW w:w="1341"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50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1954105</w:t>
            </w:r>
          </w:p>
        </w:tc>
        <w:tc>
          <w:tcPr>
            <w:tcW w:w="144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1902732</w:t>
            </w:r>
          </w:p>
        </w:tc>
        <w:tc>
          <w:tcPr>
            <w:tcW w:w="1740" w:type="dxa"/>
            <w:tcBorders>
              <w:top w:val="single" w:color="9BC2E6" w:sz="4" w:space="0"/>
              <w:left w:val="nil"/>
              <w:bottom w:val="nil"/>
              <w:right w:val="single" w:color="9BC2E6" w:sz="4" w:space="0"/>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二、畜禽出栏</w:t>
            </w:r>
          </w:p>
        </w:tc>
        <w:tc>
          <w:tcPr>
            <w:tcW w:w="1341"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0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4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4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猪</w:t>
            </w:r>
          </w:p>
        </w:tc>
        <w:tc>
          <w:tcPr>
            <w:tcW w:w="1341"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w:t>
            </w:r>
          </w:p>
        </w:tc>
        <w:tc>
          <w:tcPr>
            <w:tcW w:w="150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728100</w:t>
            </w:r>
          </w:p>
        </w:tc>
        <w:tc>
          <w:tcPr>
            <w:tcW w:w="144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635900</w:t>
            </w:r>
          </w:p>
        </w:tc>
        <w:tc>
          <w:tcPr>
            <w:tcW w:w="1740" w:type="dxa"/>
            <w:tcBorders>
              <w:top w:val="single" w:color="9BC2E6" w:sz="4" w:space="0"/>
              <w:left w:val="nil"/>
              <w:bottom w:val="nil"/>
              <w:right w:val="single" w:color="9BC2E6" w:sz="4" w:space="0"/>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牛</w:t>
            </w:r>
          </w:p>
        </w:tc>
        <w:tc>
          <w:tcPr>
            <w:tcW w:w="1341"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w:t>
            </w:r>
          </w:p>
        </w:tc>
        <w:tc>
          <w:tcPr>
            <w:tcW w:w="150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50909</w:t>
            </w:r>
          </w:p>
        </w:tc>
        <w:tc>
          <w:tcPr>
            <w:tcW w:w="144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48533</w:t>
            </w:r>
          </w:p>
        </w:tc>
        <w:tc>
          <w:tcPr>
            <w:tcW w:w="1740" w:type="dxa"/>
            <w:tcBorders>
              <w:top w:val="single" w:color="9BC2E6" w:sz="4" w:space="0"/>
              <w:left w:val="nil"/>
              <w:bottom w:val="nil"/>
              <w:right w:val="single" w:color="9BC2E6"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羊</w:t>
            </w:r>
          </w:p>
        </w:tc>
        <w:tc>
          <w:tcPr>
            <w:tcW w:w="1341"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50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179873</w:t>
            </w:r>
          </w:p>
        </w:tc>
        <w:tc>
          <w:tcPr>
            <w:tcW w:w="144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178429</w:t>
            </w:r>
          </w:p>
        </w:tc>
        <w:tc>
          <w:tcPr>
            <w:tcW w:w="1740" w:type="dxa"/>
            <w:tcBorders>
              <w:top w:val="single" w:color="9BC2E6" w:sz="4" w:space="0"/>
              <w:left w:val="nil"/>
              <w:bottom w:val="nil"/>
              <w:right w:val="single" w:color="9BC2E6" w:sz="4" w:space="0"/>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活家禽</w:t>
            </w:r>
          </w:p>
        </w:tc>
        <w:tc>
          <w:tcPr>
            <w:tcW w:w="1341"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50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2289557</w:t>
            </w:r>
          </w:p>
        </w:tc>
        <w:tc>
          <w:tcPr>
            <w:tcW w:w="1440" w:type="dxa"/>
            <w:tcBorders>
              <w:top w:val="single" w:color="9BC2E6" w:sz="4" w:space="0"/>
              <w:left w:val="nil"/>
              <w:bottom w:val="nil"/>
              <w:right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2348401</w:t>
            </w:r>
          </w:p>
        </w:tc>
        <w:tc>
          <w:tcPr>
            <w:tcW w:w="1740" w:type="dxa"/>
            <w:tcBorders>
              <w:top w:val="single" w:color="9BC2E6" w:sz="4" w:space="0"/>
              <w:left w:val="nil"/>
              <w:bottom w:val="nil"/>
              <w:right w:val="single" w:color="9BC2E6"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三、畜禽产品产量</w:t>
            </w:r>
          </w:p>
        </w:tc>
        <w:tc>
          <w:tcPr>
            <w:tcW w:w="1341"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0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4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40" w:type="dxa"/>
            <w:tcBorders>
              <w:top w:val="single" w:color="9BC2E6" w:sz="4" w:space="0"/>
              <w:left w:val="nil"/>
              <w:bottom w:val="nil"/>
              <w:right w:val="single" w:color="9BC2E6" w:sz="4" w:space="0"/>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r>
              <w:rPr>
                <w:rStyle w:val="10"/>
                <w:lang w:val="en-US" w:eastAsia="zh-CN" w:bidi="ar"/>
              </w:rPr>
              <w:t>肉总产量</w:t>
            </w:r>
          </w:p>
        </w:tc>
        <w:tc>
          <w:tcPr>
            <w:tcW w:w="1341"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0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80535 </w:t>
            </w:r>
          </w:p>
        </w:tc>
        <w:tc>
          <w:tcPr>
            <w:tcW w:w="144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70910</w:t>
            </w:r>
          </w:p>
        </w:tc>
        <w:tc>
          <w:tcPr>
            <w:tcW w:w="1740" w:type="dxa"/>
            <w:tcBorders>
              <w:top w:val="single" w:color="9BC2E6" w:sz="4" w:space="0"/>
              <w:left w:val="nil"/>
              <w:bottom w:val="nil"/>
              <w:right w:val="single" w:color="9BC2E6"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猪肉</w:t>
            </w:r>
          </w:p>
        </w:tc>
        <w:tc>
          <w:tcPr>
            <w:tcW w:w="1341"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0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65044 </w:t>
            </w:r>
          </w:p>
        </w:tc>
        <w:tc>
          <w:tcPr>
            <w:tcW w:w="144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55573</w:t>
            </w:r>
          </w:p>
        </w:tc>
        <w:tc>
          <w:tcPr>
            <w:tcW w:w="1740" w:type="dxa"/>
            <w:tcBorders>
              <w:top w:val="single" w:color="9BC2E6" w:sz="4" w:space="0"/>
              <w:left w:val="nil"/>
              <w:bottom w:val="nil"/>
              <w:right w:val="single" w:color="9BC2E6" w:sz="4" w:space="0"/>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牛肉</w:t>
            </w:r>
          </w:p>
        </w:tc>
        <w:tc>
          <w:tcPr>
            <w:tcW w:w="1341"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0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7159 </w:t>
            </w:r>
          </w:p>
        </w:tc>
        <w:tc>
          <w:tcPr>
            <w:tcW w:w="144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6831</w:t>
            </w:r>
          </w:p>
        </w:tc>
        <w:tc>
          <w:tcPr>
            <w:tcW w:w="1740" w:type="dxa"/>
            <w:tcBorders>
              <w:top w:val="single" w:color="9BC2E6" w:sz="4" w:space="0"/>
              <w:left w:val="nil"/>
              <w:bottom w:val="nil"/>
              <w:right w:val="single" w:color="9BC2E6"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羊肉</w:t>
            </w:r>
          </w:p>
        </w:tc>
        <w:tc>
          <w:tcPr>
            <w:tcW w:w="1341"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0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3606 </w:t>
            </w:r>
          </w:p>
        </w:tc>
        <w:tc>
          <w:tcPr>
            <w:tcW w:w="144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3806</w:t>
            </w:r>
          </w:p>
        </w:tc>
        <w:tc>
          <w:tcPr>
            <w:tcW w:w="1740" w:type="dxa"/>
            <w:tcBorders>
              <w:top w:val="single" w:color="9BC2E6" w:sz="4" w:space="0"/>
              <w:left w:val="nil"/>
              <w:bottom w:val="nil"/>
              <w:right w:val="single" w:color="9BC2E6" w:sz="4" w:space="0"/>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禽肉</w:t>
            </w:r>
          </w:p>
        </w:tc>
        <w:tc>
          <w:tcPr>
            <w:tcW w:w="1341"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0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4725 </w:t>
            </w:r>
          </w:p>
        </w:tc>
        <w:tc>
          <w:tcPr>
            <w:tcW w:w="1440" w:type="dxa"/>
            <w:tcBorders>
              <w:top w:val="single" w:color="9BC2E6"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w:t>
            </w:r>
          </w:p>
        </w:tc>
        <w:tc>
          <w:tcPr>
            <w:tcW w:w="1740" w:type="dxa"/>
            <w:tcBorders>
              <w:top w:val="single" w:color="9BC2E6" w:sz="4" w:space="0"/>
              <w:left w:val="nil"/>
              <w:bottom w:val="nil"/>
              <w:right w:val="single" w:color="9BC2E6"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35"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禽蛋</w:t>
            </w:r>
          </w:p>
        </w:tc>
        <w:tc>
          <w:tcPr>
            <w:tcW w:w="1341"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0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2339 </w:t>
            </w:r>
          </w:p>
        </w:tc>
        <w:tc>
          <w:tcPr>
            <w:tcW w:w="1440" w:type="dxa"/>
            <w:tcBorders>
              <w:top w:val="single" w:color="9BC2E6" w:sz="4" w:space="0"/>
              <w:left w:val="nil"/>
              <w:bottom w:val="nil"/>
              <w:right w:val="nil"/>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w:t>
            </w:r>
          </w:p>
        </w:tc>
        <w:tc>
          <w:tcPr>
            <w:tcW w:w="1740" w:type="dxa"/>
            <w:tcBorders>
              <w:top w:val="single" w:color="9BC2E6" w:sz="4" w:space="0"/>
              <w:left w:val="nil"/>
              <w:bottom w:val="nil"/>
              <w:right w:val="single" w:color="9BC2E6" w:sz="4" w:space="0"/>
            </w:tcBorders>
            <w:shd w:val="clear" w:color="DDEBF7" w:fill="DDEBF7"/>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 </w:t>
            </w:r>
          </w:p>
        </w:tc>
      </w:tr>
    </w:tbl>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sz w:val="32"/>
          <w:szCs w:val="32"/>
        </w:rPr>
      </w:pPr>
      <w:r>
        <w:rPr>
          <w:rFonts w:hint="eastAsia" w:eastAsia="黑体"/>
          <w:color w:val="000000"/>
          <w:sz w:val="32"/>
          <w:szCs w:val="32"/>
          <w:lang w:eastAsia="zh-CN"/>
        </w:rPr>
        <w:t>三</w:t>
      </w:r>
      <w:r>
        <w:rPr>
          <w:rFonts w:eastAsia="黑体"/>
          <w:color w:val="000000"/>
          <w:sz w:val="32"/>
          <w:szCs w:val="32"/>
        </w:rPr>
        <w:t>、工业和建筑业</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年末规模以上工业企业</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户，全年</w:t>
      </w:r>
      <w:r>
        <w:rPr>
          <w:rFonts w:hint="eastAsia" w:ascii="仿宋_GB2312" w:hAnsi="仿宋_GB2312" w:eastAsia="仿宋_GB2312" w:cs="仿宋_GB2312"/>
          <w:color w:val="auto"/>
          <w:sz w:val="32"/>
          <w:szCs w:val="32"/>
          <w:lang w:eastAsia="zh-CN"/>
        </w:rPr>
        <w:t>规模工业总产值</w:t>
      </w:r>
      <w:r>
        <w:rPr>
          <w:rFonts w:hint="eastAsia" w:ascii="仿宋_GB2312" w:hAnsi="仿宋_GB2312" w:eastAsia="仿宋_GB2312" w:cs="仿宋_GB2312"/>
          <w:color w:val="auto"/>
          <w:sz w:val="32"/>
          <w:szCs w:val="32"/>
          <w:lang w:val="en-US" w:eastAsia="zh-CN"/>
        </w:rPr>
        <w:t>173.11亿元，同比增长18.5%。</w:t>
      </w:r>
      <w:r>
        <w:rPr>
          <w:rFonts w:hint="eastAsia" w:ascii="仿宋_GB2312" w:hAnsi="仿宋_GB2312" w:eastAsia="仿宋_GB2312" w:cs="仿宋_GB2312"/>
          <w:color w:val="auto"/>
          <w:sz w:val="32"/>
          <w:szCs w:val="32"/>
        </w:rPr>
        <w:t>规模以上工业增加值</w:t>
      </w:r>
      <w:r>
        <w:rPr>
          <w:rFonts w:hint="eastAsia" w:ascii="仿宋_GB2312" w:hAnsi="仿宋_GB2312" w:eastAsia="仿宋_GB2312" w:cs="仿宋_GB2312"/>
          <w:color w:val="auto"/>
          <w:sz w:val="32"/>
          <w:szCs w:val="32"/>
          <w:lang w:val="en-US" w:eastAsia="zh-CN"/>
        </w:rPr>
        <w:t>同比增长20.3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分经济类型看，国有控股企业增加值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28.0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非公有</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-4.4</w:t>
      </w:r>
      <w:r>
        <w:rPr>
          <w:rFonts w:hint="eastAsia" w:ascii="仿宋_GB2312" w:hAnsi="仿宋_GB2312" w:eastAsia="仿宋_GB2312" w:cs="仿宋_GB2312"/>
          <w:color w:val="000000"/>
          <w:sz w:val="32"/>
          <w:szCs w:val="32"/>
        </w:rPr>
        <w:t>%，私营企业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23.3</w:t>
      </w:r>
      <w:r>
        <w:rPr>
          <w:rFonts w:hint="eastAsia" w:ascii="仿宋_GB2312" w:hAnsi="仿宋_GB2312" w:eastAsia="仿宋_GB2312" w:cs="仿宋_GB2312"/>
          <w:color w:val="000000"/>
          <w:sz w:val="32"/>
          <w:szCs w:val="32"/>
        </w:rPr>
        <w:t>%。分门类看，采矿业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-9.7</w:t>
      </w:r>
      <w:r>
        <w:rPr>
          <w:rFonts w:hint="eastAsia" w:ascii="仿宋_GB2312" w:hAnsi="仿宋_GB2312" w:eastAsia="仿宋_GB2312" w:cs="仿宋_GB2312"/>
          <w:color w:val="000000"/>
          <w:sz w:val="32"/>
          <w:szCs w:val="32"/>
        </w:rPr>
        <w:t>%，制造业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30.9</w:t>
      </w:r>
      <w:r>
        <w:rPr>
          <w:rFonts w:hint="eastAsia" w:ascii="仿宋_GB2312" w:hAnsi="仿宋_GB2312" w:eastAsia="仿宋_GB2312" w:cs="仿宋_GB2312"/>
          <w:color w:val="000000"/>
          <w:sz w:val="32"/>
          <w:szCs w:val="32"/>
        </w:rPr>
        <w:t>%，电力、热力、燃气及水生产和供应业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-9.7</w:t>
      </w:r>
      <w:r>
        <w:rPr>
          <w:rFonts w:hint="eastAsia" w:ascii="仿宋_GB2312" w:hAnsi="仿宋_GB2312" w:eastAsia="仿宋_GB2312" w:cs="仿宋_GB2312"/>
          <w:color w:val="000000"/>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eastAsia="仿宋_GB2312"/>
          <w:color w:val="000000"/>
          <w:sz w:val="32"/>
          <w:szCs w:val="32"/>
        </w:rPr>
      </w:pP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lang w:val="en-US" w:eastAsia="zh-CN"/>
        </w:rPr>
        <w:t>4个重点监测的行业</w:t>
      </w:r>
      <w:r>
        <w:rPr>
          <w:rFonts w:hint="eastAsia" w:ascii="仿宋_GB2312" w:hAnsi="仿宋_GB2312" w:eastAsia="仿宋_GB2312" w:cs="仿宋_GB2312"/>
          <w:color w:val="000000"/>
          <w:sz w:val="32"/>
          <w:szCs w:val="32"/>
        </w:rPr>
        <w:t>中，煤炭开采和洗选业增加值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-12.4</w:t>
      </w:r>
      <w:r>
        <w:rPr>
          <w:rFonts w:hint="eastAsia" w:ascii="仿宋_GB2312" w:hAnsi="仿宋_GB2312" w:eastAsia="仿宋_GB2312" w:cs="仿宋_GB2312"/>
          <w:color w:val="000000"/>
          <w:sz w:val="32"/>
          <w:szCs w:val="32"/>
        </w:rPr>
        <w:t>%，酒、饮料和精制茶制造业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31.6</w:t>
      </w:r>
      <w:r>
        <w:rPr>
          <w:rFonts w:hint="eastAsia" w:ascii="仿宋_GB2312" w:hAnsi="仿宋_GB2312" w:eastAsia="仿宋_GB2312" w:cs="仿宋_GB2312"/>
          <w:color w:val="000000"/>
          <w:sz w:val="32"/>
          <w:szCs w:val="32"/>
        </w:rPr>
        <w:t>%，电力、热力生产和供应业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-10.1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非金属矿物制品增加值</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13.9</w:t>
      </w:r>
      <w:r>
        <w:rPr>
          <w:rFonts w:hint="eastAsia" w:ascii="仿宋_GB2312" w:hAnsi="仿宋_GB2312" w:eastAsia="仿宋_GB2312" w:cs="仿宋_GB2312"/>
          <w:color w:val="000000"/>
          <w:sz w:val="32"/>
          <w:szCs w:val="32"/>
        </w:rPr>
        <w:t>%。</w:t>
      </w:r>
    </w:p>
    <w:p>
      <w:pPr>
        <w:pStyle w:val="5"/>
        <w:spacing w:line="560" w:lineRule="exact"/>
        <w:ind w:firstLine="640"/>
        <w:jc w:val="both"/>
        <w:rPr>
          <w:rFonts w:eastAsia="仿宋_GB2312"/>
          <w:color w:val="000000"/>
          <w:sz w:val="32"/>
          <w:szCs w:val="32"/>
        </w:rPr>
      </w:pPr>
      <w:r>
        <w:drawing>
          <wp:anchor distT="0" distB="0" distL="114300" distR="114300" simplePos="0" relativeHeight="251660288" behindDoc="0" locked="0" layoutInCell="1" allowOverlap="1">
            <wp:simplePos x="0" y="0"/>
            <wp:positionH relativeFrom="column">
              <wp:posOffset>182245</wp:posOffset>
            </wp:positionH>
            <wp:positionV relativeFrom="paragraph">
              <wp:posOffset>12065</wp:posOffset>
            </wp:positionV>
            <wp:extent cx="4905375" cy="2857500"/>
            <wp:effectExtent l="5080" t="4445" r="4445" b="14605"/>
            <wp:wrapNone/>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5"/>
        <w:spacing w:line="560" w:lineRule="exact"/>
        <w:ind w:firstLine="640"/>
        <w:jc w:val="both"/>
        <w:rPr>
          <w:rFonts w:eastAsia="仿宋_GB2312"/>
          <w:color w:val="000000"/>
          <w:sz w:val="32"/>
          <w:szCs w:val="32"/>
        </w:rPr>
      </w:pPr>
    </w:p>
    <w:p>
      <w:pPr>
        <w:pStyle w:val="5"/>
        <w:spacing w:line="560" w:lineRule="exact"/>
        <w:ind w:firstLine="640"/>
        <w:jc w:val="both"/>
        <w:rPr>
          <w:rFonts w:eastAsia="仿宋_GB2312"/>
          <w:color w:val="000000"/>
          <w:sz w:val="32"/>
          <w:szCs w:val="32"/>
        </w:rPr>
      </w:pPr>
    </w:p>
    <w:p>
      <w:pPr>
        <w:pStyle w:val="5"/>
        <w:spacing w:line="560" w:lineRule="exact"/>
        <w:ind w:firstLine="640"/>
        <w:jc w:val="both"/>
        <w:rPr>
          <w:rFonts w:eastAsia="仿宋_GB2312"/>
          <w:color w:val="000000"/>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2020年规模以上工业主要行业增加值增长速度</w:t>
      </w:r>
    </w:p>
    <w:tbl>
      <w:tblPr>
        <w:tblStyle w:val="6"/>
        <w:tblW w:w="77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69"/>
        <w:gridCol w:w="2055"/>
        <w:gridCol w:w="2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3169" w:type="dxa"/>
            <w:tcBorders>
              <w:top w:val="nil"/>
              <w:left w:val="single" w:color="9BC2E6" w:sz="4" w:space="0"/>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行业名称</w:t>
            </w:r>
          </w:p>
        </w:tc>
        <w:tc>
          <w:tcPr>
            <w:tcW w:w="2055" w:type="dxa"/>
            <w:tcBorders>
              <w:top w:val="nil"/>
              <w:left w:val="nil"/>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同比增长</w:t>
            </w:r>
            <w:r>
              <w:rPr>
                <w:rFonts w:hint="eastAsia" w:ascii="宋体" w:hAnsi="宋体" w:eastAsia="宋体" w:cs="宋体"/>
                <w:b/>
                <w:i w:val="0"/>
                <w:color w:val="000000"/>
                <w:kern w:val="0"/>
                <w:sz w:val="20"/>
                <w:szCs w:val="20"/>
                <w:u w:val="none"/>
                <w:lang w:val="en-US" w:eastAsia="zh-CN" w:bidi="ar"/>
              </w:rPr>
              <w:t>（%）</w:t>
            </w:r>
          </w:p>
        </w:tc>
        <w:tc>
          <w:tcPr>
            <w:tcW w:w="2537" w:type="dxa"/>
            <w:tcBorders>
              <w:top w:val="nil"/>
              <w:left w:val="nil"/>
              <w:bottom w:val="nil"/>
              <w:right w:val="single" w:color="9BC2E6" w:sz="4"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占规模工业增加值比重（%）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69"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规模工业增加值</w:t>
            </w:r>
          </w:p>
        </w:tc>
        <w:tc>
          <w:tcPr>
            <w:tcW w:w="205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20.3</w:t>
            </w:r>
          </w:p>
        </w:tc>
        <w:tc>
          <w:tcPr>
            <w:tcW w:w="2537"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69"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煤炭开采和洗选业</w:t>
            </w:r>
          </w:p>
        </w:tc>
        <w:tc>
          <w:tcPr>
            <w:tcW w:w="205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2537"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69"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非金属矿采选业</w:t>
            </w:r>
          </w:p>
        </w:tc>
        <w:tc>
          <w:tcPr>
            <w:tcW w:w="205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2537"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69"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农副食品加工业</w:t>
            </w:r>
          </w:p>
        </w:tc>
        <w:tc>
          <w:tcPr>
            <w:tcW w:w="205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2537"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169"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酒、饮料和精制茶制造业</w:t>
            </w:r>
          </w:p>
        </w:tc>
        <w:tc>
          <w:tcPr>
            <w:tcW w:w="205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2537"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69"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非金属矿物制品业</w:t>
            </w:r>
          </w:p>
        </w:tc>
        <w:tc>
          <w:tcPr>
            <w:tcW w:w="205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2537"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69"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电气机械和器材制造业</w:t>
            </w:r>
          </w:p>
        </w:tc>
        <w:tc>
          <w:tcPr>
            <w:tcW w:w="205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2537"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169" w:type="dxa"/>
            <w:tcBorders>
              <w:top w:val="single" w:color="9BC2E6" w:sz="4" w:space="0"/>
              <w:left w:val="single" w:color="9BC2E6" w:sz="4" w:space="0"/>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计算机、通信和其他电子设备制造业</w:t>
            </w:r>
          </w:p>
        </w:tc>
        <w:tc>
          <w:tcPr>
            <w:tcW w:w="2055" w:type="dxa"/>
            <w:tcBorders>
              <w:top w:val="single" w:color="9BC2E6"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w:t>
            </w:r>
          </w:p>
        </w:tc>
        <w:tc>
          <w:tcPr>
            <w:tcW w:w="2537"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169"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电力、热力生产和供应业</w:t>
            </w:r>
          </w:p>
        </w:tc>
        <w:tc>
          <w:tcPr>
            <w:tcW w:w="2055" w:type="dxa"/>
            <w:tcBorders>
              <w:top w:val="single" w:color="9BC2E6" w:sz="4" w:space="0"/>
              <w:left w:val="nil"/>
              <w:bottom w:val="nil"/>
              <w:right w:val="nil"/>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2537"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r>
    </w:tbl>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2020年规模以上工业主要产品产量及其增长速度</w:t>
      </w:r>
    </w:p>
    <w:tbl>
      <w:tblPr>
        <w:tblStyle w:val="6"/>
        <w:tblW w:w="7725"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50"/>
        <w:gridCol w:w="2055"/>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3150" w:type="dxa"/>
            <w:tcBorders>
              <w:top w:val="single" w:color="000000" w:sz="8" w:space="0"/>
              <w:left w:val="single" w:color="9BC2E6" w:sz="4" w:space="0"/>
              <w:bottom w:val="single" w:color="000000" w:sz="8" w:space="0"/>
              <w:right w:val="single" w:color="000000" w:sz="8"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2055" w:type="dxa"/>
            <w:tcBorders>
              <w:top w:val="single" w:color="000000" w:sz="8" w:space="0"/>
              <w:left w:val="nil"/>
              <w:bottom w:val="single" w:color="000000" w:sz="8" w:space="0"/>
              <w:right w:val="single" w:color="000000" w:sz="8"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绝对数</w:t>
            </w:r>
          </w:p>
        </w:tc>
        <w:tc>
          <w:tcPr>
            <w:tcW w:w="2520" w:type="dxa"/>
            <w:tcBorders>
              <w:top w:val="single" w:color="000000" w:sz="8" w:space="0"/>
              <w:left w:val="nil"/>
              <w:bottom w:val="single" w:color="000000" w:sz="8" w:space="0"/>
              <w:right w:val="single" w:color="9BC2E6" w:sz="4"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同比增长</w:t>
            </w:r>
            <w:r>
              <w:rPr>
                <w:rFonts w:hint="eastAsia" w:ascii="宋体" w:hAnsi="宋体" w:eastAsia="宋体" w:cs="宋体"/>
                <w:b/>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150" w:type="dxa"/>
            <w:tcBorders>
              <w:top w:val="single" w:color="9BC2E6" w:sz="4" w:space="0"/>
              <w:left w:val="single" w:color="9BC2E6" w:sz="4" w:space="0"/>
              <w:bottom w:val="single" w:color="000000" w:sz="8" w:space="0"/>
              <w:right w:val="single" w:color="000000" w:sz="8" w:space="0"/>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原     煤（万吨）</w:t>
            </w:r>
          </w:p>
        </w:tc>
        <w:tc>
          <w:tcPr>
            <w:tcW w:w="2055" w:type="dxa"/>
            <w:tcBorders>
              <w:top w:val="single" w:color="9BC2E6" w:sz="4" w:space="0"/>
              <w:left w:val="nil"/>
              <w:bottom w:val="single" w:color="000000" w:sz="8" w:space="0"/>
              <w:right w:val="single" w:color="000000" w:sz="8"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2520" w:type="dxa"/>
            <w:tcBorders>
              <w:top w:val="single" w:color="9BC2E6" w:sz="4" w:space="0"/>
              <w:left w:val="nil"/>
              <w:bottom w:val="single" w:color="000000" w:sz="8"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150" w:type="dxa"/>
            <w:tcBorders>
              <w:top w:val="single" w:color="9BC2E6" w:sz="4" w:space="0"/>
              <w:left w:val="single" w:color="9BC2E6"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洗     煤（万吨）</w:t>
            </w:r>
          </w:p>
        </w:tc>
        <w:tc>
          <w:tcPr>
            <w:tcW w:w="2055" w:type="dxa"/>
            <w:tcBorders>
              <w:top w:val="single" w:color="9BC2E6"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21.82</w:t>
            </w:r>
          </w:p>
        </w:tc>
        <w:tc>
          <w:tcPr>
            <w:tcW w:w="2520" w:type="dxa"/>
            <w:tcBorders>
              <w:top w:val="single" w:color="9BC2E6" w:sz="4" w:space="0"/>
              <w:left w:val="nil"/>
              <w:bottom w:val="single" w:color="000000" w:sz="8"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150" w:type="dxa"/>
            <w:tcBorders>
              <w:top w:val="single" w:color="9BC2E6" w:sz="4" w:space="0"/>
              <w:left w:val="single" w:color="9BC2E6" w:sz="4" w:space="0"/>
              <w:bottom w:val="single" w:color="000000" w:sz="8" w:space="0"/>
              <w:right w:val="single" w:color="000000" w:sz="8" w:space="0"/>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     酒（千升）</w:t>
            </w:r>
          </w:p>
        </w:tc>
        <w:tc>
          <w:tcPr>
            <w:tcW w:w="2055" w:type="dxa"/>
            <w:tcBorders>
              <w:top w:val="single" w:color="9BC2E6" w:sz="4" w:space="0"/>
              <w:left w:val="nil"/>
              <w:bottom w:val="single" w:color="000000" w:sz="8" w:space="0"/>
              <w:right w:val="single" w:color="000000" w:sz="8"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55148</w:t>
            </w:r>
          </w:p>
        </w:tc>
        <w:tc>
          <w:tcPr>
            <w:tcW w:w="2520" w:type="dxa"/>
            <w:tcBorders>
              <w:top w:val="single" w:color="9BC2E6" w:sz="4" w:space="0"/>
              <w:left w:val="nil"/>
              <w:bottom w:val="single" w:color="000000" w:sz="8"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150" w:type="dxa"/>
            <w:tcBorders>
              <w:top w:val="single" w:color="9BC2E6" w:sz="4" w:space="0"/>
              <w:left w:val="single" w:color="9BC2E6"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     泥（万吨）</w:t>
            </w:r>
          </w:p>
        </w:tc>
        <w:tc>
          <w:tcPr>
            <w:tcW w:w="2055" w:type="dxa"/>
            <w:tcBorders>
              <w:top w:val="single" w:color="9BC2E6"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w:t>
            </w:r>
          </w:p>
        </w:tc>
        <w:tc>
          <w:tcPr>
            <w:tcW w:w="2520" w:type="dxa"/>
            <w:tcBorders>
              <w:top w:val="single" w:color="9BC2E6" w:sz="4" w:space="0"/>
              <w:left w:val="nil"/>
              <w:bottom w:val="single" w:color="000000" w:sz="8"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150" w:type="dxa"/>
            <w:tcBorders>
              <w:top w:val="single" w:color="9BC2E6" w:sz="4" w:space="0"/>
              <w:left w:val="single" w:color="9BC2E6" w:sz="4" w:space="0"/>
              <w:bottom w:val="single" w:color="000000" w:sz="8" w:space="0"/>
              <w:right w:val="single" w:color="000000" w:sz="8" w:space="0"/>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全部工业用电量（万千瓦时）</w:t>
            </w:r>
          </w:p>
        </w:tc>
        <w:tc>
          <w:tcPr>
            <w:tcW w:w="2055" w:type="dxa"/>
            <w:tcBorders>
              <w:top w:val="single" w:color="9BC2E6" w:sz="4" w:space="0"/>
              <w:left w:val="nil"/>
              <w:bottom w:val="single" w:color="000000" w:sz="8" w:space="0"/>
              <w:right w:val="single" w:color="000000" w:sz="8"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77578</w:t>
            </w:r>
          </w:p>
        </w:tc>
        <w:tc>
          <w:tcPr>
            <w:tcW w:w="2520" w:type="dxa"/>
            <w:tcBorders>
              <w:top w:val="single" w:color="9BC2E6" w:sz="4" w:space="0"/>
              <w:left w:val="nil"/>
              <w:bottom w:val="single" w:color="000000" w:sz="8"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150" w:type="dxa"/>
            <w:tcBorders>
              <w:top w:val="single" w:color="9BC2E6" w:sz="4" w:space="0"/>
              <w:left w:val="single" w:color="9BC2E6"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发电量（万千瓦时）</w:t>
            </w:r>
          </w:p>
        </w:tc>
        <w:tc>
          <w:tcPr>
            <w:tcW w:w="2055" w:type="dxa"/>
            <w:tcBorders>
              <w:top w:val="single" w:color="9BC2E6" w:sz="4"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460851</w:t>
            </w:r>
          </w:p>
        </w:tc>
        <w:tc>
          <w:tcPr>
            <w:tcW w:w="2520" w:type="dxa"/>
            <w:tcBorders>
              <w:top w:val="single" w:color="9BC2E6" w:sz="4" w:space="0"/>
              <w:left w:val="nil"/>
              <w:bottom w:val="single" w:color="000000" w:sz="8"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具有资质等级建筑业企业</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家，建筑业产值</w:t>
      </w:r>
      <w:r>
        <w:rPr>
          <w:rFonts w:hint="eastAsia" w:ascii="仿宋_GB2312" w:hAnsi="仿宋_GB2312" w:eastAsia="仿宋_GB2312" w:cs="仿宋_GB2312"/>
          <w:color w:val="auto"/>
          <w:sz w:val="32"/>
          <w:szCs w:val="32"/>
          <w:lang w:val="en-US" w:eastAsia="zh-CN"/>
        </w:rPr>
        <w:t>同比增长18.4</w:t>
      </w:r>
      <w:r>
        <w:rPr>
          <w:rFonts w:hint="eastAsia" w:ascii="仿宋_GB2312" w:hAnsi="仿宋_GB2312" w:eastAsia="仿宋_GB2312" w:cs="仿宋_GB2312"/>
          <w:color w:val="auto"/>
          <w:sz w:val="32"/>
          <w:szCs w:val="32"/>
        </w:rPr>
        <w:t>%。</w:t>
      </w:r>
    </w:p>
    <w:p>
      <w:pPr>
        <w:pStyle w:val="5"/>
        <w:spacing w:line="560" w:lineRule="exact"/>
        <w:ind w:firstLine="640" w:firstLineChars="200"/>
        <w:jc w:val="left"/>
        <w:rPr>
          <w:rFonts w:hint="default" w:eastAsia="黑体"/>
          <w:color w:val="000000"/>
          <w:sz w:val="32"/>
          <w:szCs w:val="32"/>
          <w:lang w:val="en-US" w:eastAsia="zh-CN"/>
        </w:rPr>
      </w:pPr>
      <w:r>
        <w:rPr>
          <w:rFonts w:hint="eastAsia" w:eastAsia="黑体"/>
          <w:color w:val="000000"/>
          <w:sz w:val="32"/>
          <w:szCs w:val="32"/>
          <w:lang w:eastAsia="zh-CN"/>
        </w:rPr>
        <w:t>四</w:t>
      </w:r>
      <w:r>
        <w:rPr>
          <w:rFonts w:eastAsia="黑体"/>
          <w:color w:val="000000"/>
          <w:sz w:val="32"/>
          <w:szCs w:val="32"/>
        </w:rPr>
        <w:t>、固定资产投资</w:t>
      </w:r>
      <w:r>
        <w:rPr>
          <w:rFonts w:hint="eastAsia" w:eastAsia="黑体"/>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全年</w:t>
      </w:r>
      <w:r>
        <w:rPr>
          <w:rFonts w:hint="eastAsia" w:ascii="仿宋_GB2312" w:hAnsi="仿宋_GB2312" w:eastAsia="仿宋_GB2312" w:cs="仿宋_GB2312"/>
          <w:color w:val="000000"/>
          <w:sz w:val="32"/>
          <w:szCs w:val="32"/>
          <w:lang w:val="en-US" w:eastAsia="zh-CN"/>
        </w:rPr>
        <w:t>500万元以上</w:t>
      </w:r>
      <w:r>
        <w:rPr>
          <w:rFonts w:hint="eastAsia" w:ascii="仿宋_GB2312" w:hAnsi="仿宋_GB2312" w:eastAsia="仿宋_GB2312" w:cs="仿宋_GB2312"/>
          <w:color w:val="000000"/>
          <w:sz w:val="32"/>
          <w:szCs w:val="32"/>
        </w:rPr>
        <w:t>固定资产投资</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sz w:val="32"/>
          <w:szCs w:val="32"/>
          <w:lang w:val="en-US" w:eastAsia="zh-CN"/>
        </w:rPr>
        <w:t>18.5</w:t>
      </w:r>
      <w:r>
        <w:rPr>
          <w:rFonts w:hint="eastAsia" w:ascii="仿宋_GB2312" w:hAnsi="仿宋_GB2312" w:eastAsia="仿宋_GB2312" w:cs="仿宋_GB2312"/>
          <w:color w:val="000000"/>
          <w:sz w:val="32"/>
          <w:szCs w:val="32"/>
        </w:rPr>
        <w:t>%。其中，第一产业投资占固定资产投资的比重为</w:t>
      </w:r>
      <w:r>
        <w:rPr>
          <w:rFonts w:hint="eastAsia" w:ascii="仿宋_GB2312" w:hAnsi="仿宋_GB2312" w:eastAsia="仿宋_GB2312" w:cs="仿宋_GB2312"/>
          <w:color w:val="000000"/>
          <w:sz w:val="32"/>
          <w:szCs w:val="32"/>
          <w:lang w:val="en-US" w:eastAsia="zh-CN"/>
        </w:rPr>
        <w:t>4.24</w:t>
      </w:r>
      <w:r>
        <w:rPr>
          <w:rFonts w:hint="eastAsia" w:ascii="仿宋_GB2312" w:hAnsi="仿宋_GB2312" w:eastAsia="仿宋_GB2312" w:cs="仿宋_GB2312"/>
          <w:color w:val="000000"/>
          <w:sz w:val="32"/>
          <w:szCs w:val="32"/>
        </w:rPr>
        <w:t>%；第二产业投资</w:t>
      </w:r>
      <w:r>
        <w:rPr>
          <w:rFonts w:hint="eastAsia" w:ascii="仿宋_GB2312" w:hAnsi="仿宋_GB2312" w:eastAsia="仿宋_GB2312" w:cs="仿宋_GB2312"/>
          <w:color w:val="000000"/>
          <w:sz w:val="32"/>
          <w:szCs w:val="32"/>
          <w:lang w:eastAsia="zh-CN"/>
        </w:rPr>
        <w:t>占固定资产投资</w:t>
      </w:r>
      <w:r>
        <w:rPr>
          <w:rFonts w:hint="eastAsia" w:ascii="仿宋_GB2312" w:hAnsi="仿宋_GB2312" w:eastAsia="仿宋_GB2312" w:cs="仿宋_GB2312"/>
          <w:color w:val="000000"/>
          <w:sz w:val="32"/>
          <w:szCs w:val="32"/>
        </w:rPr>
        <w:t>比重为</w:t>
      </w:r>
      <w:r>
        <w:rPr>
          <w:rFonts w:hint="eastAsia" w:ascii="仿宋_GB2312" w:hAnsi="仿宋_GB2312" w:eastAsia="仿宋_GB2312" w:cs="仿宋_GB2312"/>
          <w:color w:val="000000"/>
          <w:sz w:val="32"/>
          <w:szCs w:val="32"/>
          <w:lang w:val="en-US" w:eastAsia="zh-CN"/>
        </w:rPr>
        <w:t>29.51</w:t>
      </w:r>
      <w:r>
        <w:rPr>
          <w:rFonts w:hint="eastAsia" w:ascii="仿宋_GB2312" w:hAnsi="仿宋_GB2312" w:eastAsia="仿宋_GB2312" w:cs="仿宋_GB2312"/>
          <w:color w:val="000000"/>
          <w:sz w:val="32"/>
          <w:szCs w:val="32"/>
        </w:rPr>
        <w:t>%；第三产业投资</w:t>
      </w:r>
      <w:r>
        <w:rPr>
          <w:rFonts w:hint="eastAsia" w:ascii="仿宋_GB2312" w:hAnsi="仿宋_GB2312" w:eastAsia="仿宋_GB2312" w:cs="仿宋_GB2312"/>
          <w:color w:val="000000"/>
          <w:sz w:val="32"/>
          <w:szCs w:val="32"/>
          <w:lang w:eastAsia="zh-CN"/>
        </w:rPr>
        <w:t>占固定资产投资</w:t>
      </w:r>
      <w:r>
        <w:rPr>
          <w:rFonts w:hint="eastAsia" w:ascii="仿宋_GB2312" w:hAnsi="仿宋_GB2312" w:eastAsia="仿宋_GB2312" w:cs="仿宋_GB2312"/>
          <w:color w:val="000000"/>
          <w:sz w:val="32"/>
          <w:szCs w:val="32"/>
        </w:rPr>
        <w:t>比重为</w:t>
      </w:r>
      <w:r>
        <w:rPr>
          <w:rFonts w:hint="eastAsia" w:ascii="仿宋_GB2312" w:hAnsi="仿宋_GB2312" w:eastAsia="仿宋_GB2312" w:cs="仿宋_GB2312"/>
          <w:color w:val="000000"/>
          <w:sz w:val="32"/>
          <w:szCs w:val="32"/>
          <w:lang w:val="en-US" w:eastAsia="zh-CN"/>
        </w:rPr>
        <w:t>66.25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。分产业看，第一产业投资增长</w:t>
      </w:r>
      <w:r>
        <w:rPr>
          <w:rFonts w:hint="eastAsia" w:ascii="仿宋_GB2312" w:hAnsi="仿宋_GB2312" w:eastAsia="仿宋_GB2312" w:cs="仿宋_GB2312"/>
          <w:color w:val="000000"/>
          <w:sz w:val="32"/>
          <w:szCs w:val="32"/>
          <w:lang w:val="en-US" w:eastAsia="zh-CN"/>
        </w:rPr>
        <w:t>210.60</w:t>
      </w:r>
      <w:r>
        <w:rPr>
          <w:rFonts w:hint="eastAsia" w:ascii="仿宋_GB2312" w:hAnsi="仿宋_GB2312" w:eastAsia="仿宋_GB2312" w:cs="仿宋_GB2312"/>
          <w:color w:val="000000"/>
          <w:sz w:val="32"/>
          <w:szCs w:val="32"/>
          <w:lang w:eastAsia="zh-CN"/>
        </w:rPr>
        <w:t>%；第二产业增长</w:t>
      </w:r>
      <w:r>
        <w:rPr>
          <w:rFonts w:hint="eastAsia" w:ascii="仿宋_GB2312" w:hAnsi="仿宋_GB2312" w:eastAsia="仿宋_GB2312" w:cs="仿宋_GB2312"/>
          <w:color w:val="000000"/>
          <w:sz w:val="32"/>
          <w:szCs w:val="32"/>
          <w:lang w:val="en-US" w:eastAsia="zh-CN"/>
        </w:rPr>
        <w:t>47.84</w:t>
      </w:r>
      <w:r>
        <w:rPr>
          <w:rFonts w:hint="eastAsia" w:ascii="仿宋_GB2312" w:hAnsi="仿宋_GB2312" w:eastAsia="仿宋_GB2312" w:cs="仿宋_GB2312"/>
          <w:color w:val="000000"/>
          <w:sz w:val="32"/>
          <w:szCs w:val="32"/>
          <w:lang w:eastAsia="zh-CN"/>
        </w:rPr>
        <w:t>%；第三产业投资增长</w:t>
      </w:r>
      <w:r>
        <w:rPr>
          <w:rFonts w:hint="eastAsia" w:ascii="仿宋_GB2312" w:hAnsi="仿宋_GB2312" w:eastAsia="仿宋_GB2312" w:cs="仿宋_GB2312"/>
          <w:color w:val="000000"/>
          <w:sz w:val="32"/>
          <w:szCs w:val="32"/>
          <w:lang w:val="en-US" w:eastAsia="zh-CN"/>
        </w:rPr>
        <w:t>4.47</w:t>
      </w:r>
      <w:r>
        <w:rPr>
          <w:rFonts w:hint="eastAsia" w:ascii="仿宋_GB2312" w:hAnsi="仿宋_GB2312" w:eastAsia="仿宋_GB2312" w:cs="仿宋_GB2312"/>
          <w:color w:val="000000"/>
          <w:sz w:val="32"/>
          <w:szCs w:val="32"/>
          <w:lang w:eastAsia="zh-CN"/>
        </w:rPr>
        <w:t>%。从重点领域看，工业投资比上年增长</w:t>
      </w:r>
      <w:r>
        <w:rPr>
          <w:rFonts w:hint="eastAsia" w:ascii="仿宋_GB2312" w:hAnsi="仿宋_GB2312" w:eastAsia="仿宋_GB2312" w:cs="仿宋_GB2312"/>
          <w:color w:val="000000"/>
          <w:sz w:val="32"/>
          <w:szCs w:val="32"/>
          <w:lang w:val="en-US" w:eastAsia="zh-CN"/>
        </w:rPr>
        <w:t>47.84</w:t>
      </w:r>
      <w:r>
        <w:rPr>
          <w:rFonts w:hint="eastAsia" w:ascii="仿宋_GB2312" w:hAnsi="仿宋_GB2312" w:eastAsia="仿宋_GB2312" w:cs="仿宋_GB2312"/>
          <w:color w:val="000000"/>
          <w:sz w:val="32"/>
          <w:szCs w:val="32"/>
          <w:lang w:eastAsia="zh-CN"/>
        </w:rPr>
        <w:t>%，其中制造业比上年增长</w:t>
      </w:r>
      <w:r>
        <w:rPr>
          <w:rFonts w:hint="eastAsia" w:ascii="仿宋_GB2312" w:hAnsi="仿宋_GB2312" w:eastAsia="仿宋_GB2312" w:cs="仿宋_GB2312"/>
          <w:color w:val="000000"/>
          <w:sz w:val="32"/>
          <w:szCs w:val="32"/>
          <w:lang w:val="en-US" w:eastAsia="zh-CN"/>
        </w:rPr>
        <w:t>44.81</w:t>
      </w:r>
      <w:r>
        <w:rPr>
          <w:rFonts w:hint="eastAsia" w:ascii="仿宋_GB2312" w:hAnsi="仿宋_GB2312" w:eastAsia="仿宋_GB2312" w:cs="仿宋_GB2312"/>
          <w:color w:val="000000"/>
          <w:sz w:val="32"/>
          <w:szCs w:val="32"/>
          <w:lang w:eastAsia="zh-CN"/>
        </w:rPr>
        <w:t>%；基础设施投资比上年上升</w:t>
      </w:r>
      <w:r>
        <w:rPr>
          <w:rFonts w:hint="eastAsia" w:ascii="仿宋_GB2312" w:hAnsi="仿宋_GB2312" w:eastAsia="仿宋_GB2312" w:cs="仿宋_GB2312"/>
          <w:color w:val="000000"/>
          <w:sz w:val="32"/>
          <w:szCs w:val="32"/>
          <w:lang w:val="en-US" w:eastAsia="zh-CN"/>
        </w:rPr>
        <w:t>6.35</w:t>
      </w:r>
      <w:r>
        <w:rPr>
          <w:rFonts w:hint="eastAsia" w:ascii="仿宋_GB2312" w:hAnsi="仿宋_GB2312" w:eastAsia="仿宋_GB2312" w:cs="仿宋_GB2312"/>
          <w:color w:val="000000"/>
          <w:sz w:val="32"/>
          <w:szCs w:val="32"/>
          <w:lang w:eastAsia="zh-CN"/>
        </w:rPr>
        <w:t>%；房地产开发投资比上年增长</w:t>
      </w:r>
      <w:r>
        <w:rPr>
          <w:rFonts w:hint="eastAsia" w:ascii="仿宋_GB2312" w:hAnsi="仿宋_GB2312" w:eastAsia="仿宋_GB2312" w:cs="仿宋_GB2312"/>
          <w:color w:val="000000"/>
          <w:sz w:val="32"/>
          <w:szCs w:val="32"/>
          <w:lang w:val="en-US" w:eastAsia="zh-CN"/>
        </w:rPr>
        <w:t>27.13</w:t>
      </w:r>
      <w:r>
        <w:rPr>
          <w:rFonts w:hint="eastAsia" w:ascii="仿宋_GB2312" w:hAnsi="仿宋_GB2312" w:eastAsia="仿宋_GB2312" w:cs="仿宋_GB2312"/>
          <w:color w:val="000000"/>
          <w:sz w:val="32"/>
          <w:szCs w:val="32"/>
          <w:lang w:eastAsia="zh-CN"/>
        </w:rPr>
        <w:t>%。三大领域投资占500万元以上固定资产投资的比重分别为</w:t>
      </w:r>
      <w:r>
        <w:rPr>
          <w:rFonts w:hint="eastAsia" w:ascii="仿宋_GB2312" w:hAnsi="仿宋_GB2312" w:eastAsia="仿宋_GB2312" w:cs="仿宋_GB2312"/>
          <w:color w:val="000000"/>
          <w:sz w:val="32"/>
          <w:szCs w:val="32"/>
          <w:lang w:val="en-US" w:eastAsia="zh-CN"/>
        </w:rPr>
        <w:t>29.5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4.4</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39.3</w:t>
      </w:r>
      <w:r>
        <w:rPr>
          <w:rFonts w:hint="eastAsia" w:ascii="仿宋_GB2312" w:hAnsi="仿宋_GB2312" w:eastAsia="仿宋_GB2312" w:cs="仿宋_GB2312"/>
          <w:color w:val="000000"/>
          <w:sz w:val="32"/>
          <w:szCs w:val="32"/>
          <w:lang w:eastAsia="zh-CN"/>
        </w:rPr>
        <w:t>%。</w:t>
      </w:r>
    </w:p>
    <w:p>
      <w:pPr>
        <w:pStyle w:val="2"/>
        <w:rPr>
          <w:rFonts w:hint="eastAsia"/>
        </w:rPr>
      </w:pPr>
      <w:r>
        <w:drawing>
          <wp:anchor distT="0" distB="0" distL="114300" distR="114300" simplePos="0" relativeHeight="251661312" behindDoc="0" locked="0" layoutInCell="1" allowOverlap="1">
            <wp:simplePos x="0" y="0"/>
            <wp:positionH relativeFrom="column">
              <wp:posOffset>15240</wp:posOffset>
            </wp:positionH>
            <wp:positionV relativeFrom="paragraph">
              <wp:posOffset>69850</wp:posOffset>
            </wp:positionV>
            <wp:extent cx="5103495" cy="2447925"/>
            <wp:effectExtent l="4445" t="4445" r="16510"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5"/>
        <w:spacing w:line="560" w:lineRule="exact"/>
        <w:jc w:val="both"/>
        <w:rPr>
          <w:rFonts w:eastAsia="仿宋_GB2312"/>
          <w:color w:val="000000"/>
          <w:sz w:val="32"/>
          <w:szCs w:val="32"/>
        </w:rPr>
      </w:pPr>
    </w:p>
    <w:p>
      <w:pPr>
        <w:pStyle w:val="5"/>
        <w:spacing w:line="560" w:lineRule="exact"/>
        <w:ind w:firstLine="640"/>
        <w:jc w:val="both"/>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
    <w:p/>
    <w:p>
      <w:r>
        <w:drawing>
          <wp:anchor distT="0" distB="0" distL="114300" distR="114300" simplePos="0" relativeHeight="251666432" behindDoc="0" locked="0" layoutInCell="1" allowOverlap="1">
            <wp:simplePos x="0" y="0"/>
            <wp:positionH relativeFrom="column">
              <wp:posOffset>3810</wp:posOffset>
            </wp:positionH>
            <wp:positionV relativeFrom="paragraph">
              <wp:posOffset>112395</wp:posOffset>
            </wp:positionV>
            <wp:extent cx="5115560" cy="2723515"/>
            <wp:effectExtent l="4445" t="4445" r="23495" b="1524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
      <w:pPr>
        <w:pStyle w:val="2"/>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2020年分行业500万元以上固定资产投资增长速度</w:t>
      </w:r>
    </w:p>
    <w:tbl>
      <w:tblPr>
        <w:tblStyle w:val="6"/>
        <w:tblW w:w="8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6"/>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5B9BD5"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指</w:t>
            </w:r>
            <w:r>
              <w:rPr>
                <w:rFonts w:hint="eastAsia" w:ascii="宋体" w:hAnsi="宋体" w:cs="宋体"/>
                <w:b/>
                <w:i w:val="0"/>
                <w:color w:val="FFFFFF"/>
                <w:kern w:val="0"/>
                <w:sz w:val="20"/>
                <w:szCs w:val="20"/>
                <w:u w:val="none"/>
                <w:lang w:val="en-US" w:eastAsia="zh-CN" w:bidi="ar"/>
              </w:rPr>
              <w:t xml:space="preserve">     </w:t>
            </w:r>
            <w:r>
              <w:rPr>
                <w:rFonts w:hint="eastAsia" w:ascii="宋体" w:hAnsi="宋体" w:eastAsia="宋体" w:cs="宋体"/>
                <w:b/>
                <w:i w:val="0"/>
                <w:color w:val="FFFFFF"/>
                <w:kern w:val="0"/>
                <w:sz w:val="20"/>
                <w:szCs w:val="20"/>
                <w:u w:val="none"/>
                <w:lang w:val="en-US" w:eastAsia="zh-CN" w:bidi="ar"/>
              </w:rPr>
              <w:t>标</w:t>
            </w:r>
          </w:p>
        </w:tc>
        <w:tc>
          <w:tcPr>
            <w:tcW w:w="2655" w:type="dxa"/>
            <w:tcBorders>
              <w:top w:val="single" w:color="9BC2E6" w:sz="4" w:space="0"/>
              <w:left w:val="nil"/>
              <w:bottom w:val="single" w:color="9BC2E6" w:sz="4" w:space="0"/>
              <w:right w:val="single" w:color="9BC2E6" w:sz="4" w:space="0"/>
            </w:tcBorders>
            <w:shd w:val="clear" w:color="5B9BD5"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sz w:val="20"/>
                <w:szCs w:val="20"/>
                <w:u w:val="none"/>
              </w:rPr>
            </w:pPr>
            <w:r>
              <w:rPr>
                <w:rFonts w:hint="eastAsia" w:ascii="宋体" w:hAnsi="宋体" w:eastAsia="宋体" w:cs="宋体"/>
                <w:b/>
                <w:i w:val="0"/>
                <w:color w:val="FFFFFF"/>
                <w:kern w:val="0"/>
                <w:sz w:val="20"/>
                <w:szCs w:val="20"/>
                <w:u w:val="none"/>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第一产业</w:t>
            </w:r>
          </w:p>
        </w:tc>
        <w:tc>
          <w:tcPr>
            <w:tcW w:w="2655" w:type="dxa"/>
            <w:tcBorders>
              <w:top w:val="single" w:color="9BC2E6" w:sz="4" w:space="0"/>
              <w:left w:val="nil"/>
              <w:bottom w:val="single" w:color="9BC2E6" w:sz="4"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第二产业</w:t>
            </w:r>
          </w:p>
        </w:tc>
        <w:tc>
          <w:tcPr>
            <w:tcW w:w="2655" w:type="dxa"/>
            <w:tcBorders>
              <w:top w:val="single" w:color="9BC2E6" w:sz="4" w:space="0"/>
              <w:left w:val="nil"/>
              <w:bottom w:val="single" w:color="9BC2E6" w:sz="4"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采矿业</w:t>
            </w:r>
          </w:p>
        </w:tc>
        <w:tc>
          <w:tcPr>
            <w:tcW w:w="2655" w:type="dxa"/>
            <w:tcBorders>
              <w:top w:val="single" w:color="9BC2E6" w:sz="4" w:space="0"/>
              <w:left w:val="nil"/>
              <w:bottom w:val="single" w:color="9BC2E6" w:sz="4"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制造业</w:t>
            </w:r>
          </w:p>
        </w:tc>
        <w:tc>
          <w:tcPr>
            <w:tcW w:w="2655" w:type="dxa"/>
            <w:tcBorders>
              <w:top w:val="single" w:color="9BC2E6" w:sz="4" w:space="0"/>
              <w:left w:val="nil"/>
              <w:bottom w:val="single" w:color="9BC2E6" w:sz="4"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电力、燃气及水的生产供应业</w:t>
            </w:r>
          </w:p>
        </w:tc>
        <w:tc>
          <w:tcPr>
            <w:tcW w:w="2655" w:type="dxa"/>
            <w:tcBorders>
              <w:top w:val="single" w:color="9BC2E6" w:sz="4" w:space="0"/>
              <w:left w:val="nil"/>
              <w:bottom w:val="single" w:color="9BC2E6" w:sz="4"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第三产业</w:t>
            </w:r>
          </w:p>
        </w:tc>
        <w:tc>
          <w:tcPr>
            <w:tcW w:w="2655" w:type="dxa"/>
            <w:tcBorders>
              <w:top w:val="single" w:color="9BC2E6" w:sz="4" w:space="0"/>
              <w:left w:val="nil"/>
              <w:bottom w:val="single" w:color="9BC2E6" w:sz="4"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批发和零售业</w:t>
            </w:r>
          </w:p>
        </w:tc>
        <w:tc>
          <w:tcPr>
            <w:tcW w:w="2655" w:type="dxa"/>
            <w:tcBorders>
              <w:top w:val="single" w:color="9BC2E6" w:sz="4" w:space="0"/>
              <w:left w:val="nil"/>
              <w:bottom w:val="single" w:color="9BC2E6" w:sz="4"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交通运输、仓储和邮政业</w:t>
            </w:r>
          </w:p>
        </w:tc>
        <w:tc>
          <w:tcPr>
            <w:tcW w:w="2655" w:type="dxa"/>
            <w:tcBorders>
              <w:top w:val="single" w:color="9BC2E6" w:sz="4" w:space="0"/>
              <w:left w:val="nil"/>
              <w:bottom w:val="single" w:color="9BC2E6" w:sz="4"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住宿和餐饮业</w:t>
            </w:r>
          </w:p>
        </w:tc>
        <w:tc>
          <w:tcPr>
            <w:tcW w:w="2655" w:type="dxa"/>
            <w:tcBorders>
              <w:top w:val="single" w:color="9BC2E6" w:sz="4" w:space="0"/>
              <w:left w:val="nil"/>
              <w:bottom w:val="single" w:color="9BC2E6" w:sz="4"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信息传输、计算机服务和软件业</w:t>
            </w:r>
          </w:p>
        </w:tc>
        <w:tc>
          <w:tcPr>
            <w:tcW w:w="2655" w:type="dxa"/>
            <w:tcBorders>
              <w:top w:val="single" w:color="9BC2E6" w:sz="4" w:space="0"/>
              <w:left w:val="nil"/>
              <w:bottom w:val="single" w:color="9BC2E6" w:sz="4"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水利、环境和公共设施管理业</w:t>
            </w:r>
          </w:p>
        </w:tc>
        <w:tc>
          <w:tcPr>
            <w:tcW w:w="2655" w:type="dxa"/>
            <w:tcBorders>
              <w:top w:val="single" w:color="9BC2E6" w:sz="4" w:space="0"/>
              <w:left w:val="nil"/>
              <w:bottom w:val="single" w:color="9BC2E6" w:sz="4"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居民服务和其它服务业</w:t>
            </w:r>
          </w:p>
        </w:tc>
        <w:tc>
          <w:tcPr>
            <w:tcW w:w="2655" w:type="dxa"/>
            <w:tcBorders>
              <w:top w:val="single" w:color="9BC2E6" w:sz="4" w:space="0"/>
              <w:left w:val="nil"/>
              <w:bottom w:val="single" w:color="9BC2E6" w:sz="4"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教育</w:t>
            </w:r>
          </w:p>
        </w:tc>
        <w:tc>
          <w:tcPr>
            <w:tcW w:w="2655" w:type="dxa"/>
            <w:tcBorders>
              <w:top w:val="single" w:color="9BC2E6" w:sz="4" w:space="0"/>
              <w:left w:val="nil"/>
              <w:bottom w:val="single" w:color="9BC2E6" w:sz="4"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卫生、社会保障和社会福利业</w:t>
            </w:r>
          </w:p>
        </w:tc>
        <w:tc>
          <w:tcPr>
            <w:tcW w:w="2655" w:type="dxa"/>
            <w:tcBorders>
              <w:top w:val="single" w:color="9BC2E6" w:sz="4" w:space="0"/>
              <w:left w:val="nil"/>
              <w:bottom w:val="single" w:color="9BC2E6" w:sz="4" w:space="0"/>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406" w:type="dxa"/>
            <w:tcBorders>
              <w:top w:val="single" w:color="9BC2E6" w:sz="4" w:space="0"/>
              <w:left w:val="single" w:color="9BC2E6" w:sz="4" w:space="0"/>
              <w:bottom w:val="single" w:color="9BC2E6" w:sz="4" w:space="0"/>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文化、体育和娱乐业</w:t>
            </w:r>
          </w:p>
        </w:tc>
        <w:tc>
          <w:tcPr>
            <w:tcW w:w="2655" w:type="dxa"/>
            <w:tcBorders>
              <w:top w:val="single" w:color="9BC2E6" w:sz="4" w:space="0"/>
              <w:left w:val="nil"/>
              <w:bottom w:val="single" w:color="9BC2E6" w:sz="4" w:space="0"/>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-65.77</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r>
        <w:rPr>
          <w:rFonts w:ascii="Times New Roman" w:hAnsi="Times New Roman" w:eastAsia="仿宋_GB2312"/>
          <w:sz w:val="32"/>
          <w:szCs w:val="32"/>
        </w:rPr>
        <w:t>全年房地产开发投资</w:t>
      </w:r>
      <w:r>
        <w:rPr>
          <w:rFonts w:hint="eastAsia" w:eastAsia="仿宋_GB2312"/>
          <w:sz w:val="32"/>
          <w:szCs w:val="32"/>
          <w:lang w:eastAsia="zh-CN"/>
        </w:rPr>
        <w:t>同比增长</w:t>
      </w:r>
      <w:r>
        <w:rPr>
          <w:rFonts w:hint="eastAsia" w:ascii="Times New Roman" w:hAnsi="Times New Roman" w:eastAsia="仿宋_GB2312"/>
          <w:sz w:val="32"/>
          <w:szCs w:val="32"/>
          <w:lang w:val="en-US" w:eastAsia="zh-CN"/>
        </w:rPr>
        <w:t>84.9</w:t>
      </w:r>
      <w:r>
        <w:rPr>
          <w:rFonts w:ascii="Times New Roman" w:hAnsi="Times New Roman" w:eastAsia="仿宋_GB2312"/>
          <w:sz w:val="32"/>
          <w:szCs w:val="32"/>
        </w:rPr>
        <w:t>%</w:t>
      </w:r>
      <w:r>
        <w:rPr>
          <w:rFonts w:hint="eastAsia" w:ascii="Times New Roman" w:hAnsi="Times New Roman" w:eastAsia="仿宋_GB2312"/>
          <w:sz w:val="32"/>
          <w:szCs w:val="32"/>
          <w:lang w:eastAsia="zh-CN"/>
        </w:rPr>
        <w:t>，全年</w:t>
      </w:r>
      <w:r>
        <w:rPr>
          <w:rFonts w:ascii="Times New Roman" w:hAnsi="Times New Roman" w:eastAsia="仿宋_GB2312"/>
          <w:sz w:val="32"/>
          <w:szCs w:val="32"/>
        </w:rPr>
        <w:t>商品房销售面积</w:t>
      </w:r>
      <w:r>
        <w:rPr>
          <w:rFonts w:hint="eastAsia" w:ascii="Times New Roman" w:hAnsi="Times New Roman" w:eastAsia="仿宋_GB2312"/>
          <w:sz w:val="32"/>
          <w:szCs w:val="32"/>
          <w:lang w:val="en-US" w:eastAsia="zh-CN"/>
        </w:rPr>
        <w:t>107.49</w:t>
      </w:r>
      <w:r>
        <w:rPr>
          <w:rFonts w:ascii="Times New Roman" w:hAnsi="Times New Roman" w:eastAsia="仿宋_GB2312"/>
          <w:sz w:val="32"/>
          <w:szCs w:val="32"/>
        </w:rPr>
        <w:t>万平方米，</w:t>
      </w:r>
      <w:r>
        <w:rPr>
          <w:rFonts w:hint="eastAsia" w:eastAsia="仿宋_GB2312"/>
          <w:sz w:val="32"/>
          <w:szCs w:val="32"/>
          <w:lang w:eastAsia="zh-CN"/>
        </w:rPr>
        <w:t>同比增长</w:t>
      </w:r>
      <w:r>
        <w:rPr>
          <w:rFonts w:hint="eastAsia" w:ascii="Times New Roman" w:hAnsi="Times New Roman" w:eastAsia="仿宋_GB2312"/>
          <w:sz w:val="32"/>
          <w:szCs w:val="32"/>
          <w:lang w:val="en-US" w:eastAsia="zh-CN"/>
        </w:rPr>
        <w:t>17.6</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eastAsia="仿宋_GB2312"/>
          <w:color w:val="000000"/>
          <w:sz w:val="32"/>
          <w:szCs w:val="32"/>
          <w:lang w:val="en-US" w:eastAsia="zh-CN"/>
        </w:rPr>
      </w:pPr>
      <w:r>
        <w:rPr>
          <w:rFonts w:hint="eastAsia" w:ascii="黑体" w:hAnsi="黑体" w:eastAsia="黑体" w:cs="黑体"/>
          <w:color w:val="auto"/>
          <w:sz w:val="32"/>
          <w:szCs w:val="32"/>
          <w:lang w:eastAsia="zh-CN"/>
        </w:rPr>
        <w:t>五、市场和消费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bCs/>
          <w:color w:val="auto"/>
          <w:sz w:val="32"/>
          <w:szCs w:val="32"/>
        </w:rPr>
      </w:pPr>
      <w:r>
        <w:rPr>
          <w:rFonts w:hint="eastAsia" w:ascii="仿宋_GB2312" w:hAnsi="仿宋_GB2312" w:eastAsia="仿宋_GB2312"/>
          <w:bCs/>
          <w:color w:val="auto"/>
          <w:sz w:val="32"/>
          <w:szCs w:val="32"/>
        </w:rPr>
        <w:t>年末各类市场主体</w:t>
      </w:r>
      <w:r>
        <w:rPr>
          <w:rFonts w:hint="eastAsia" w:ascii="仿宋_GB2312" w:hAnsi="仿宋_GB2312" w:eastAsia="仿宋_GB2312"/>
          <w:bCs/>
          <w:color w:val="auto"/>
          <w:sz w:val="32"/>
          <w:szCs w:val="32"/>
          <w:lang w:val="en-US" w:eastAsia="zh-CN"/>
        </w:rPr>
        <w:t>3.75万</w:t>
      </w:r>
      <w:r>
        <w:rPr>
          <w:rFonts w:hint="eastAsia" w:ascii="仿宋_GB2312" w:hAnsi="仿宋_GB2312" w:eastAsia="仿宋_GB2312"/>
          <w:bCs/>
          <w:color w:val="auto"/>
          <w:sz w:val="32"/>
          <w:szCs w:val="32"/>
        </w:rPr>
        <w:t>户。其中，内资企业</w:t>
      </w:r>
      <w:r>
        <w:rPr>
          <w:rFonts w:hint="eastAsia" w:ascii="仿宋_GB2312" w:hAnsi="仿宋_GB2312" w:eastAsia="仿宋_GB2312"/>
          <w:bCs/>
          <w:color w:val="auto"/>
          <w:sz w:val="32"/>
          <w:szCs w:val="32"/>
          <w:lang w:val="en-US" w:eastAsia="zh-CN"/>
        </w:rPr>
        <w:t>0.71万</w:t>
      </w:r>
      <w:r>
        <w:rPr>
          <w:rFonts w:hint="eastAsia" w:ascii="仿宋_GB2312" w:hAnsi="仿宋_GB2312" w:eastAsia="仿宋_GB2312"/>
          <w:bCs/>
          <w:color w:val="auto"/>
          <w:sz w:val="32"/>
          <w:szCs w:val="32"/>
        </w:rPr>
        <w:t>户，注册资本</w:t>
      </w:r>
      <w:r>
        <w:rPr>
          <w:rFonts w:hint="eastAsia" w:ascii="仿宋_GB2312" w:hAnsi="仿宋_GB2312" w:eastAsia="仿宋_GB2312"/>
          <w:bCs/>
          <w:color w:val="auto"/>
          <w:sz w:val="32"/>
          <w:szCs w:val="32"/>
          <w:lang w:val="en-US" w:eastAsia="zh-CN"/>
        </w:rPr>
        <w:t>476.14</w:t>
      </w:r>
      <w:r>
        <w:rPr>
          <w:rFonts w:hint="eastAsia" w:ascii="仿宋_GB2312" w:hAnsi="仿宋_GB2312" w:eastAsia="仿宋_GB2312"/>
          <w:bCs/>
          <w:color w:val="auto"/>
          <w:sz w:val="32"/>
          <w:szCs w:val="32"/>
        </w:rPr>
        <w:t>亿元；个体工商户</w:t>
      </w:r>
      <w:r>
        <w:rPr>
          <w:rFonts w:hint="eastAsia" w:ascii="仿宋_GB2312" w:hAnsi="仿宋_GB2312" w:eastAsia="仿宋_GB2312"/>
          <w:bCs/>
          <w:color w:val="auto"/>
          <w:sz w:val="32"/>
          <w:szCs w:val="32"/>
          <w:lang w:val="en-US" w:eastAsia="zh-CN"/>
        </w:rPr>
        <w:t>2.86万</w:t>
      </w:r>
      <w:r>
        <w:rPr>
          <w:rFonts w:hint="eastAsia" w:ascii="仿宋_GB2312" w:hAnsi="仿宋_GB2312" w:eastAsia="仿宋_GB2312"/>
          <w:bCs/>
          <w:color w:val="auto"/>
          <w:sz w:val="32"/>
          <w:szCs w:val="32"/>
        </w:rPr>
        <w:t>户，注册资本</w:t>
      </w:r>
      <w:r>
        <w:rPr>
          <w:rFonts w:hint="eastAsia" w:ascii="仿宋_GB2312" w:hAnsi="仿宋_GB2312" w:eastAsia="仿宋_GB2312"/>
          <w:bCs/>
          <w:color w:val="auto"/>
          <w:sz w:val="32"/>
          <w:szCs w:val="32"/>
          <w:lang w:val="en-US" w:eastAsia="zh-CN"/>
        </w:rPr>
        <w:t>21.89</w:t>
      </w:r>
      <w:r>
        <w:rPr>
          <w:rFonts w:hint="eastAsia" w:ascii="仿宋_GB2312" w:hAnsi="仿宋_GB2312" w:eastAsia="仿宋_GB2312"/>
          <w:bCs/>
          <w:color w:val="auto"/>
          <w:sz w:val="32"/>
          <w:szCs w:val="32"/>
        </w:rPr>
        <w:t>亿元；农民专业合作社</w:t>
      </w:r>
      <w:r>
        <w:rPr>
          <w:rFonts w:hint="eastAsia" w:ascii="仿宋_GB2312" w:hAnsi="仿宋_GB2312" w:eastAsia="仿宋_GB2312"/>
          <w:bCs/>
          <w:color w:val="auto"/>
          <w:sz w:val="32"/>
          <w:szCs w:val="32"/>
          <w:lang w:val="en-US" w:eastAsia="zh-CN"/>
        </w:rPr>
        <w:t>0.09万</w:t>
      </w:r>
      <w:r>
        <w:rPr>
          <w:rFonts w:hint="eastAsia" w:ascii="仿宋_GB2312" w:hAnsi="仿宋_GB2312" w:eastAsia="仿宋_GB2312"/>
          <w:bCs/>
          <w:color w:val="auto"/>
          <w:sz w:val="32"/>
          <w:szCs w:val="32"/>
        </w:rPr>
        <w:t>户，注册资本</w:t>
      </w:r>
      <w:r>
        <w:rPr>
          <w:rFonts w:hint="eastAsia" w:ascii="仿宋_GB2312" w:hAnsi="仿宋_GB2312" w:eastAsia="仿宋_GB2312"/>
          <w:bCs/>
          <w:color w:val="auto"/>
          <w:sz w:val="32"/>
          <w:szCs w:val="32"/>
          <w:lang w:val="en-US" w:eastAsia="zh-CN"/>
        </w:rPr>
        <w:t>26.5</w:t>
      </w:r>
      <w:r>
        <w:rPr>
          <w:rFonts w:hint="eastAsia" w:ascii="仿宋_GB2312" w:hAnsi="仿宋_GB2312" w:eastAsia="仿宋_GB2312"/>
          <w:bCs/>
          <w:color w:val="auto"/>
          <w:sz w:val="32"/>
          <w:szCs w:val="32"/>
        </w:rPr>
        <w:t>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全年社会消费品销售总额</w:t>
      </w:r>
      <w:r>
        <w:rPr>
          <w:rFonts w:hint="eastAsia" w:ascii="仿宋_GB2312" w:hAnsi="仿宋_GB2312" w:eastAsia="仿宋_GB2312" w:cs="仿宋_GB2312"/>
          <w:color w:val="auto"/>
          <w:sz w:val="32"/>
          <w:szCs w:val="32"/>
          <w:lang w:val="en-US" w:eastAsia="zh-CN"/>
        </w:rPr>
        <w:t>153.67亿元，同比增长12.9%，</w:t>
      </w:r>
      <w:r>
        <w:rPr>
          <w:rFonts w:hint="eastAsia" w:ascii="仿宋_GB2312" w:hAnsi="宋体" w:eastAsia="仿宋_GB2312"/>
          <w:sz w:val="32"/>
          <w:szCs w:val="32"/>
        </w:rPr>
        <w:t>社会消费品零售总额</w:t>
      </w:r>
      <w:r>
        <w:rPr>
          <w:rFonts w:hint="eastAsia" w:ascii="仿宋_GB2312" w:hAnsi="宋体" w:eastAsia="仿宋_GB2312"/>
          <w:sz w:val="32"/>
          <w:szCs w:val="32"/>
          <w:lang w:val="en-US" w:eastAsia="zh-CN"/>
        </w:rPr>
        <w:t>47.47</w:t>
      </w:r>
      <w:r>
        <w:rPr>
          <w:rFonts w:hint="eastAsia" w:ascii="仿宋_GB2312" w:hAnsi="宋体" w:eastAsia="仿宋_GB2312"/>
          <w:sz w:val="32"/>
          <w:szCs w:val="32"/>
        </w:rPr>
        <w:t>亿元，</w:t>
      </w:r>
      <w:r>
        <w:rPr>
          <w:rFonts w:hint="eastAsia" w:ascii="仿宋_GB2312" w:hAnsi="宋体" w:eastAsia="仿宋_GB2312"/>
          <w:sz w:val="32"/>
          <w:szCs w:val="32"/>
          <w:lang w:eastAsia="zh-CN"/>
        </w:rPr>
        <w:t>同比增长</w:t>
      </w:r>
      <w:r>
        <w:rPr>
          <w:rFonts w:hint="eastAsia" w:ascii="仿宋_GB2312" w:hAnsi="宋体" w:eastAsia="仿宋_GB2312"/>
          <w:sz w:val="32"/>
          <w:szCs w:val="32"/>
          <w:lang w:val="en-US" w:eastAsia="zh-CN"/>
        </w:rPr>
        <w:t>7.7</w:t>
      </w:r>
      <w:r>
        <w:rPr>
          <w:rFonts w:hint="eastAsia" w:ascii="仿宋_GB2312" w:hAnsi="宋体" w:eastAsia="仿宋_GB2312"/>
          <w:sz w:val="32"/>
          <w:szCs w:val="32"/>
        </w:rPr>
        <w:t>%</w:t>
      </w:r>
      <w:r>
        <w:rPr>
          <w:rFonts w:hint="eastAsia" w:ascii="仿宋_GB2312" w:hAnsi="华文宋体" w:eastAsia="仿宋_GB2312"/>
          <w:sz w:val="32"/>
          <w:szCs w:val="32"/>
        </w:rPr>
        <w:t>。</w:t>
      </w:r>
      <w:r>
        <w:rPr>
          <w:rFonts w:hint="eastAsia" w:ascii="仿宋_GB2312" w:hAnsi="华文宋体" w:eastAsia="仿宋_GB2312"/>
          <w:sz w:val="32"/>
          <w:szCs w:val="32"/>
          <w:lang w:eastAsia="zh-CN"/>
        </w:rPr>
        <w:t>年末</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县共有限额以上商贸</w:t>
      </w:r>
      <w:r>
        <w:rPr>
          <w:rFonts w:hint="eastAsia" w:ascii="仿宋_GB2312" w:hAnsi="仿宋_GB2312" w:eastAsia="仿宋_GB2312" w:cs="仿宋_GB2312"/>
          <w:sz w:val="32"/>
          <w:szCs w:val="32"/>
          <w:lang w:eastAsia="zh-CN"/>
        </w:rPr>
        <w:t>业单位</w:t>
      </w:r>
      <w:r>
        <w:rPr>
          <w:rFonts w:hint="eastAsia" w:ascii="仿宋_GB2312" w:hAnsi="仿宋_GB2312" w:eastAsia="仿宋_GB2312" w:cs="仿宋_GB2312"/>
          <w:sz w:val="32"/>
          <w:szCs w:val="32"/>
          <w:lang w:val="en-US" w:eastAsia="zh-CN"/>
        </w:rPr>
        <w:t>77个（其中大个体10户）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color w:val="auto"/>
          <w:sz w:val="32"/>
          <w:szCs w:val="32"/>
        </w:rPr>
        <w:t>限额以上</w:t>
      </w:r>
      <w:r>
        <w:rPr>
          <w:rFonts w:hint="eastAsia" w:ascii="仿宋_GB2312" w:hAnsi="仿宋_GB2312" w:eastAsia="仿宋_GB2312" w:cs="仿宋_GB2312"/>
          <w:color w:val="auto"/>
          <w:sz w:val="32"/>
          <w:szCs w:val="32"/>
          <w:lang w:eastAsia="zh-CN"/>
        </w:rPr>
        <w:t>社会消费品零售总额完成</w:t>
      </w:r>
      <w:r>
        <w:rPr>
          <w:rFonts w:hint="eastAsia" w:ascii="仿宋_GB2312" w:hAnsi="仿宋_GB2312" w:eastAsia="仿宋_GB2312" w:cs="仿宋_GB2312"/>
          <w:color w:val="auto"/>
          <w:sz w:val="32"/>
          <w:szCs w:val="32"/>
          <w:lang w:val="en-US" w:eastAsia="zh-CN"/>
        </w:rPr>
        <w:t>14.46</w:t>
      </w:r>
      <w:r>
        <w:rPr>
          <w:rFonts w:hint="eastAsia" w:ascii="仿宋_GB2312" w:hAnsi="仿宋_GB2312" w:eastAsia="仿宋_GB2312" w:cs="仿宋_GB2312"/>
          <w:color w:val="auto"/>
          <w:sz w:val="32"/>
          <w:szCs w:val="32"/>
        </w:rPr>
        <w:t>亿元，同比增长</w:t>
      </w:r>
      <w:r>
        <w:rPr>
          <w:rFonts w:hint="eastAsia" w:ascii="仿宋_GB2312" w:hAnsi="仿宋_GB2312" w:eastAsia="仿宋_GB2312" w:cs="仿宋_GB2312"/>
          <w:color w:val="auto"/>
          <w:sz w:val="32"/>
          <w:szCs w:val="32"/>
          <w:lang w:val="en-US" w:eastAsia="zh-CN"/>
        </w:rPr>
        <w:t>22.4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仿宋_GB2312" w:hAnsi="仿宋_GB2312" w:eastAsia="仿宋_GB2312" w:cs="仿宋_GB2312"/>
          <w:color w:val="auto"/>
          <w:sz w:val="32"/>
          <w:szCs w:val="32"/>
          <w:lang w:eastAsia="zh-CN"/>
        </w:rPr>
      </w:pPr>
      <w:r>
        <w:drawing>
          <wp:anchor distT="0" distB="0" distL="114300" distR="114300" simplePos="0" relativeHeight="251662336" behindDoc="0" locked="0" layoutInCell="1" allowOverlap="1">
            <wp:simplePos x="0" y="0"/>
            <wp:positionH relativeFrom="column">
              <wp:posOffset>61595</wp:posOffset>
            </wp:positionH>
            <wp:positionV relativeFrom="paragraph">
              <wp:posOffset>52705</wp:posOffset>
            </wp:positionV>
            <wp:extent cx="5076190" cy="1998980"/>
            <wp:effectExtent l="4445" t="4445" r="5715" b="1587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六、交通和运输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全县公路总里程达到</w:t>
      </w:r>
      <w:r>
        <w:rPr>
          <w:rFonts w:hint="eastAsia" w:ascii="仿宋_GB2312" w:hAnsi="仿宋_GB2312" w:eastAsia="仿宋_GB2312" w:cs="仿宋_GB2312"/>
          <w:color w:val="auto"/>
          <w:sz w:val="32"/>
          <w:szCs w:val="32"/>
          <w:lang w:val="en-US" w:eastAsia="zh-CN"/>
        </w:rPr>
        <w:t>8676</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比上年末增长</w:t>
      </w:r>
      <w:r>
        <w:rPr>
          <w:rFonts w:hint="eastAsia" w:ascii="仿宋_GB2312" w:hAnsi="仿宋_GB2312" w:eastAsia="仿宋_GB2312" w:cs="仿宋_GB2312"/>
          <w:sz w:val="32"/>
          <w:szCs w:val="32"/>
          <w:lang w:val="en-US" w:eastAsia="zh-CN"/>
        </w:rPr>
        <w:t>8.74%。</w:t>
      </w:r>
      <w:r>
        <w:rPr>
          <w:rFonts w:hint="eastAsia" w:ascii="仿宋_GB2312" w:hAnsi="仿宋_GB2312" w:eastAsia="仿宋_GB2312" w:cs="仿宋_GB2312"/>
          <w:sz w:val="32"/>
          <w:szCs w:val="32"/>
        </w:rPr>
        <w:t>其中：高速</w:t>
      </w:r>
      <w:r>
        <w:rPr>
          <w:rFonts w:hint="eastAsia" w:ascii="仿宋_GB2312" w:hAnsi="仿宋_GB2312" w:eastAsia="仿宋_GB2312" w:cs="仿宋_GB2312"/>
          <w:sz w:val="32"/>
          <w:szCs w:val="32"/>
          <w:lang w:eastAsia="zh-CN"/>
        </w:rPr>
        <w:t>公路里程</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比上年末增长</w:t>
      </w:r>
      <w:r>
        <w:rPr>
          <w:rFonts w:hint="eastAsia" w:ascii="仿宋_GB2312" w:hAnsi="仿宋_GB2312" w:eastAsia="仿宋_GB2312" w:cs="仿宋_GB2312"/>
          <w:sz w:val="32"/>
          <w:szCs w:val="32"/>
          <w:lang w:val="en-US" w:eastAsia="zh-CN"/>
        </w:rPr>
        <w:t>19.58%</w:t>
      </w:r>
      <w:r>
        <w:rPr>
          <w:rFonts w:hint="eastAsia" w:ascii="仿宋_GB2312" w:hAnsi="仿宋_GB2312" w:eastAsia="仿宋_GB2312" w:cs="仿宋_GB2312"/>
          <w:sz w:val="32"/>
          <w:szCs w:val="32"/>
          <w:lang w:eastAsia="zh-CN"/>
        </w:rPr>
        <w:t>；国道公路里程</w:t>
      </w:r>
      <w:r>
        <w:rPr>
          <w:rFonts w:hint="eastAsia" w:ascii="仿宋_GB2312" w:hAnsi="仿宋_GB2312" w:eastAsia="仿宋_GB2312" w:cs="仿宋_GB2312"/>
          <w:sz w:val="32"/>
          <w:szCs w:val="32"/>
          <w:lang w:val="en-US" w:eastAsia="zh-CN"/>
        </w:rPr>
        <w:t>219公里，与上年持平；</w:t>
      </w:r>
      <w:r>
        <w:rPr>
          <w:rFonts w:hint="eastAsia" w:ascii="仿宋_GB2312" w:hAnsi="仿宋_GB2312" w:eastAsia="仿宋_GB2312" w:cs="仿宋_GB2312"/>
          <w:sz w:val="32"/>
          <w:szCs w:val="32"/>
        </w:rPr>
        <w:t>省道</w:t>
      </w:r>
      <w:r>
        <w:rPr>
          <w:rFonts w:hint="eastAsia" w:ascii="仿宋_GB2312" w:hAnsi="仿宋_GB2312" w:eastAsia="仿宋_GB2312" w:cs="仿宋_GB2312"/>
          <w:sz w:val="32"/>
          <w:szCs w:val="32"/>
          <w:lang w:eastAsia="zh-CN"/>
        </w:rPr>
        <w:t>公路里程</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县道</w:t>
      </w:r>
      <w:r>
        <w:rPr>
          <w:rFonts w:hint="eastAsia" w:ascii="仿宋_GB2312" w:hAnsi="仿宋_GB2312" w:eastAsia="仿宋_GB2312" w:cs="仿宋_GB2312"/>
          <w:sz w:val="32"/>
          <w:szCs w:val="32"/>
          <w:lang w:val="en-US" w:eastAsia="zh-CN"/>
        </w:rPr>
        <w:t>公路里程612</w:t>
      </w:r>
      <w:r>
        <w:rPr>
          <w:rFonts w:hint="eastAsia" w:ascii="仿宋_GB2312" w:hAnsi="仿宋_GB2312" w:eastAsia="仿宋_GB2312" w:cs="仿宋_GB2312"/>
          <w:sz w:val="32"/>
          <w:szCs w:val="32"/>
        </w:rPr>
        <w:t>公里，</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sz w:val="32"/>
          <w:szCs w:val="32"/>
          <w:lang w:val="en-US" w:eastAsia="zh-CN"/>
        </w:rPr>
        <w:t>64.96%；</w:t>
      </w:r>
      <w:r>
        <w:rPr>
          <w:rFonts w:hint="eastAsia" w:ascii="仿宋_GB2312" w:hAnsi="仿宋_GB2312" w:eastAsia="仿宋_GB2312" w:cs="仿宋_GB2312"/>
          <w:sz w:val="32"/>
          <w:szCs w:val="32"/>
        </w:rPr>
        <w:t>乡道</w:t>
      </w:r>
      <w:r>
        <w:rPr>
          <w:rFonts w:hint="eastAsia" w:ascii="仿宋_GB2312" w:hAnsi="仿宋_GB2312" w:eastAsia="仿宋_GB2312" w:cs="仿宋_GB2312"/>
          <w:sz w:val="32"/>
          <w:szCs w:val="32"/>
          <w:lang w:val="en-US" w:eastAsia="zh-CN"/>
        </w:rPr>
        <w:t>904</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sz w:val="32"/>
          <w:szCs w:val="32"/>
          <w:lang w:val="en-US" w:eastAsia="zh-CN"/>
        </w:rPr>
        <w:t>62.59%</w:t>
      </w:r>
      <w:r>
        <w:rPr>
          <w:rFonts w:hint="eastAsia" w:ascii="仿宋_GB2312" w:hAnsi="仿宋_GB2312" w:eastAsia="仿宋_GB2312" w:cs="仿宋_GB2312"/>
          <w:sz w:val="32"/>
          <w:szCs w:val="32"/>
        </w:rPr>
        <w:t>。全县共有客运车辆</w:t>
      </w:r>
      <w:r>
        <w:rPr>
          <w:rFonts w:hint="eastAsia" w:ascii="仿宋_GB2312" w:hAnsi="仿宋_GB2312" w:eastAsia="仿宋_GB2312" w:cs="仿宋_GB2312"/>
          <w:sz w:val="32"/>
          <w:szCs w:val="32"/>
          <w:lang w:val="en-US" w:eastAsia="zh-CN"/>
        </w:rPr>
        <w:t>489</w:t>
      </w:r>
      <w:r>
        <w:rPr>
          <w:rFonts w:hint="eastAsia" w:ascii="仿宋_GB2312" w:hAnsi="仿宋_GB2312" w:eastAsia="仿宋_GB2312" w:cs="仿宋_GB2312"/>
          <w:sz w:val="32"/>
          <w:szCs w:val="32"/>
        </w:rPr>
        <w:t>辆，共有各类船舶</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20</w:t>
      </w:r>
      <w:r>
        <w:rPr>
          <w:rFonts w:hint="eastAsia" w:ascii="仿宋_GB2312" w:hAnsi="仿宋_GB2312" w:eastAsia="仿宋_GB2312" w:cs="仿宋_GB2312"/>
          <w:b w:val="0"/>
          <w:bCs w:val="0"/>
          <w:color w:val="000000"/>
          <w:kern w:val="0"/>
          <w:sz w:val="32"/>
          <w:szCs w:val="32"/>
          <w:lang w:val="en-US" w:eastAsia="zh-CN"/>
        </w:rPr>
        <w:t>20</w:t>
      </w:r>
      <w:r>
        <w:rPr>
          <w:rFonts w:hint="eastAsia" w:ascii="仿宋_GB2312" w:hAnsi="仿宋_GB2312" w:eastAsia="仿宋_GB2312" w:cs="仿宋_GB2312"/>
          <w:b w:val="0"/>
          <w:bCs w:val="0"/>
          <w:color w:val="000000"/>
          <w:kern w:val="0"/>
          <w:sz w:val="32"/>
          <w:szCs w:val="32"/>
        </w:rPr>
        <w:t>年运输发展情况及增长速度</w:t>
      </w:r>
    </w:p>
    <w:tbl>
      <w:tblPr>
        <w:tblStyle w:val="6"/>
        <w:tblW w:w="8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76"/>
        <w:gridCol w:w="2310"/>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976" w:type="dxa"/>
            <w:tcBorders>
              <w:top w:val="nil"/>
              <w:left w:val="single" w:color="9BC2E6" w:sz="4" w:space="0"/>
              <w:bottom w:val="nil"/>
              <w:right w:val="nil"/>
            </w:tcBorders>
            <w:shd w:val="clear" w:color="5B9BD5"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2310" w:type="dxa"/>
            <w:tcBorders>
              <w:top w:val="nil"/>
              <w:left w:val="nil"/>
              <w:bottom w:val="nil"/>
              <w:right w:val="nil"/>
            </w:tcBorders>
            <w:shd w:val="clear" w:color="5B9BD5"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2020年</w:t>
            </w:r>
          </w:p>
        </w:tc>
        <w:tc>
          <w:tcPr>
            <w:tcW w:w="2880" w:type="dxa"/>
            <w:tcBorders>
              <w:top w:val="nil"/>
              <w:left w:val="nil"/>
              <w:bottom w:val="nil"/>
              <w:right w:val="single" w:color="9BC2E6" w:sz="4"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同比增长</w:t>
            </w:r>
            <w:r>
              <w:rPr>
                <w:rFonts w:hint="eastAsia" w:ascii="宋体" w:hAnsi="宋体" w:eastAsia="宋体" w:cs="宋体"/>
                <w:b/>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公路运输完成情况：</w:t>
            </w:r>
          </w:p>
        </w:tc>
        <w:tc>
          <w:tcPr>
            <w:tcW w:w="2310"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8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旅客运输量（万人次）</w:t>
            </w:r>
          </w:p>
        </w:tc>
        <w:tc>
          <w:tcPr>
            <w:tcW w:w="2310"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365.13 </w:t>
            </w:r>
          </w:p>
        </w:tc>
        <w:tc>
          <w:tcPr>
            <w:tcW w:w="288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旅客周转量（万人公里）</w:t>
            </w:r>
          </w:p>
        </w:tc>
        <w:tc>
          <w:tcPr>
            <w:tcW w:w="2310"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26050.51</w:t>
            </w:r>
          </w:p>
        </w:tc>
        <w:tc>
          <w:tcPr>
            <w:tcW w:w="288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货物运输量（万吨）</w:t>
            </w:r>
          </w:p>
        </w:tc>
        <w:tc>
          <w:tcPr>
            <w:tcW w:w="2310"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201.95</w:t>
            </w:r>
          </w:p>
        </w:tc>
        <w:tc>
          <w:tcPr>
            <w:tcW w:w="288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货物周转量（万吨公里）</w:t>
            </w:r>
          </w:p>
        </w:tc>
        <w:tc>
          <w:tcPr>
            <w:tcW w:w="2310"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15344.68</w:t>
            </w:r>
          </w:p>
        </w:tc>
        <w:tc>
          <w:tcPr>
            <w:tcW w:w="288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水上运输完成情况：</w:t>
            </w:r>
          </w:p>
        </w:tc>
        <w:tc>
          <w:tcPr>
            <w:tcW w:w="2310"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80"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旅客运输量（万人次）</w:t>
            </w:r>
          </w:p>
        </w:tc>
        <w:tc>
          <w:tcPr>
            <w:tcW w:w="2310"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88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旅客周转量（万人公里）</w:t>
            </w:r>
          </w:p>
        </w:tc>
        <w:tc>
          <w:tcPr>
            <w:tcW w:w="2310"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88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货物运输量（万吨）</w:t>
            </w:r>
          </w:p>
        </w:tc>
        <w:tc>
          <w:tcPr>
            <w:tcW w:w="2310"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2880" w:type="dxa"/>
            <w:tcBorders>
              <w:top w:val="single" w:color="9BC2E6" w:sz="4" w:space="0"/>
              <w:left w:val="nil"/>
              <w:bottom w:val="nil"/>
              <w:right w:val="single" w:color="9BC2E6" w:sz="4" w:space="0"/>
            </w:tcBorders>
            <w:shd w:val="clear" w:color="DDEBF7"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6"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货物周转量（万吨公里）</w:t>
            </w:r>
          </w:p>
        </w:tc>
        <w:tc>
          <w:tcPr>
            <w:tcW w:w="2310"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1840</w:t>
            </w:r>
          </w:p>
        </w:tc>
        <w:tc>
          <w:tcPr>
            <w:tcW w:w="2880" w:type="dxa"/>
            <w:tcBorders>
              <w:top w:val="single" w:color="9BC2E6" w:sz="4" w:space="0"/>
              <w:left w:val="nil"/>
              <w:bottom w:val="nil"/>
              <w:right w:val="single" w:color="9BC2E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-96.73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七、旅游和文化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全年全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default" w:ascii="仿宋_GB2312" w:hAnsi="仿宋_GB2312" w:eastAsia="仿宋_GB2312" w:cs="仿宋_GB2312"/>
          <w:color w:val="000000" w:themeColor="text1"/>
          <w:sz w:val="32"/>
          <w:szCs w:val="32"/>
          <w14:textFill>
            <w14:solidFill>
              <w14:schemeClr w14:val="tx1"/>
            </w14:solidFill>
          </w14:textFill>
        </w:rPr>
        <w:t>旅游总人数</w:t>
      </w:r>
      <w:r>
        <w:rPr>
          <w:rFonts w:hint="eastAsia" w:ascii="仿宋_GB2312" w:hAnsi="仿宋_GB2312" w:eastAsia="仿宋_GB2312" w:cs="仿宋_GB2312"/>
          <w:color w:val="000000" w:themeColor="text1"/>
          <w:sz w:val="32"/>
          <w:szCs w:val="32"/>
          <w:lang w:eastAsia="zh-CN"/>
          <w14:textFill>
            <w14:solidFill>
              <w14:schemeClr w14:val="tx1"/>
            </w14:solidFill>
          </w14:textFill>
        </w:rPr>
        <w:t>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1067万人次，</w:t>
      </w:r>
      <w:r>
        <w:rPr>
          <w:rFonts w:hint="eastAsia" w:ascii="仿宋_GB2312" w:hAnsi="仿宋_GB2312" w:eastAsia="仿宋_GB2312" w:cs="仿宋_GB2312"/>
          <w:color w:val="000000" w:themeColor="text1"/>
          <w:sz w:val="32"/>
          <w:szCs w:val="32"/>
          <w:lang w:eastAsia="zh-CN"/>
          <w14:textFill>
            <w14:solidFill>
              <w14:schemeClr w14:val="tx1"/>
            </w14:solidFill>
          </w14:textFill>
        </w:rPr>
        <w:t>同比增长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17.9</w:t>
      </w:r>
      <w:r>
        <w:rPr>
          <w:rFonts w:hint="default" w:ascii="仿宋_GB2312" w:hAnsi="仿宋_GB2312" w:eastAsia="仿宋_GB2312" w:cs="仿宋_GB2312"/>
          <w:color w:val="000000" w:themeColor="text1"/>
          <w:sz w:val="32"/>
          <w:szCs w:val="32"/>
          <w14:textFill>
            <w14:solidFill>
              <w14:schemeClr w14:val="tx1"/>
            </w14:solidFill>
          </w14:textFill>
        </w:rPr>
        <w:t>%，旅游总收入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102.4亿元，</w:t>
      </w:r>
      <w:r>
        <w:rPr>
          <w:rFonts w:hint="eastAsia" w:ascii="仿宋_GB2312" w:hAnsi="仿宋_GB2312" w:eastAsia="仿宋_GB2312" w:cs="仿宋_GB2312"/>
          <w:color w:val="auto"/>
          <w:sz w:val="32"/>
          <w:szCs w:val="32"/>
          <w:lang w:val="en-US" w:eastAsia="zh-CN"/>
        </w:rPr>
        <w:t>同比增长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年末全</w:t>
      </w:r>
      <w:r>
        <w:rPr>
          <w:rFonts w:hint="eastAsia"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4A</w:t>
      </w:r>
      <w:r>
        <w:rPr>
          <w:rFonts w:hint="eastAsia" w:ascii="仿宋_GB2312" w:hAnsi="仿宋_GB2312" w:eastAsia="仿宋_GB2312" w:cs="仿宋_GB2312"/>
          <w:color w:val="auto"/>
          <w:sz w:val="32"/>
          <w:szCs w:val="32"/>
        </w:rPr>
        <w:t>级旅游景区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与上年同期持平</w:t>
      </w:r>
      <w:r>
        <w:rPr>
          <w:rFonts w:hint="eastAsia" w:ascii="仿宋_GB2312" w:hAnsi="仿宋_GB2312" w:eastAsia="仿宋_GB2312" w:cs="仿宋_GB2312"/>
          <w:color w:val="auto"/>
          <w:sz w:val="32"/>
          <w:szCs w:val="32"/>
        </w:rPr>
        <w:t>。全国重点文物保护单位</w:t>
      </w:r>
      <w:r>
        <w:rPr>
          <w:rFonts w:hint="eastAsia" w:ascii="仿宋_GB2312" w:hAnsi="仿宋_GB2312" w:eastAsia="仿宋_GB2312" w:cs="仿宋_GB2312"/>
          <w:color w:val="auto"/>
          <w:sz w:val="32"/>
          <w:szCs w:val="32"/>
          <w:lang w:val="en-US" w:eastAsia="zh-CN"/>
        </w:rPr>
        <w:t>1处14个点</w:t>
      </w:r>
      <w:r>
        <w:rPr>
          <w:rFonts w:hint="eastAsia" w:ascii="仿宋_GB2312" w:hAnsi="仿宋_GB2312" w:eastAsia="仿宋_GB2312" w:cs="仿宋_GB2312"/>
          <w:color w:val="auto"/>
          <w:sz w:val="32"/>
          <w:szCs w:val="32"/>
        </w:rPr>
        <w:t>，乡村旅游扶贫重点村</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个。年末全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客房数</w:t>
      </w:r>
      <w:r>
        <w:rPr>
          <w:rFonts w:hint="eastAsia" w:ascii="仿宋_GB2312" w:hAnsi="仿宋_GB2312" w:eastAsia="仿宋_GB2312" w:cs="仿宋_GB2312"/>
          <w:color w:val="auto"/>
          <w:sz w:val="32"/>
          <w:szCs w:val="32"/>
          <w:lang w:val="en-US" w:eastAsia="zh-CN"/>
        </w:rPr>
        <w:t>2.45</w:t>
      </w:r>
      <w:r>
        <w:rPr>
          <w:rFonts w:hint="eastAsia" w:ascii="仿宋_GB2312" w:hAnsi="仿宋_GB2312" w:eastAsia="仿宋_GB2312" w:cs="仿宋_GB2312"/>
          <w:color w:val="auto"/>
          <w:sz w:val="32"/>
          <w:szCs w:val="32"/>
        </w:rPr>
        <w:t>万间；客房床位数</w:t>
      </w:r>
      <w:r>
        <w:rPr>
          <w:rFonts w:hint="eastAsia" w:ascii="仿宋_GB2312" w:hAnsi="仿宋_GB2312" w:eastAsia="仿宋_GB2312" w:cs="仿宋_GB2312"/>
          <w:color w:val="auto"/>
          <w:sz w:val="32"/>
          <w:szCs w:val="32"/>
          <w:lang w:val="en-US" w:eastAsia="zh-CN"/>
        </w:rPr>
        <w:t>4.03</w:t>
      </w:r>
      <w:r>
        <w:rPr>
          <w:rFonts w:hint="eastAsia" w:ascii="仿宋_GB2312" w:hAnsi="仿宋_GB2312" w:eastAsia="仿宋_GB2312" w:cs="仿宋_GB2312"/>
          <w:color w:val="auto"/>
          <w:sz w:val="32"/>
          <w:szCs w:val="32"/>
        </w:rPr>
        <w:t>万张。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年末全</w:t>
      </w:r>
      <w:r>
        <w:rPr>
          <w:rFonts w:hint="eastAsia"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拥有</w:t>
      </w:r>
      <w:r>
        <w:rPr>
          <w:rFonts w:hint="eastAsia" w:ascii="仿宋_GB2312" w:hAnsi="仿宋_GB2312" w:eastAsia="仿宋_GB2312" w:cs="仿宋_GB2312"/>
          <w:color w:val="auto"/>
          <w:sz w:val="32"/>
          <w:szCs w:val="32"/>
        </w:rPr>
        <w:t>艺术表演场馆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个，博物馆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个，公共图书馆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个，群众艺术馆、文化馆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个，乡镇综合文化站</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财政、金融业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年,全县完成财政总收入</w:t>
      </w:r>
      <w:r>
        <w:rPr>
          <w:rFonts w:hint="eastAsia" w:ascii="仿宋_GB2312" w:hAnsi="仿宋_GB2312" w:eastAsia="仿宋_GB2312" w:cs="仿宋_GB2312"/>
          <w:color w:val="auto"/>
          <w:sz w:val="32"/>
          <w:szCs w:val="32"/>
          <w:lang w:val="en-US" w:eastAsia="zh-CN"/>
        </w:rPr>
        <w:t>52.82</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同比增长</w:t>
      </w:r>
      <w:r>
        <w:rPr>
          <w:rFonts w:hint="eastAsia" w:ascii="仿宋_GB2312" w:hAnsi="仿宋_GB2312" w:eastAsia="仿宋_GB2312" w:cs="仿宋_GB2312"/>
          <w:color w:val="auto"/>
          <w:sz w:val="32"/>
          <w:szCs w:val="32"/>
          <w:lang w:val="en-US" w:eastAsia="zh-CN"/>
        </w:rPr>
        <w:t>21.75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一般公共财政预算收入</w:t>
      </w:r>
      <w:r>
        <w:rPr>
          <w:rFonts w:hint="eastAsia" w:ascii="仿宋_GB2312" w:hAnsi="仿宋_GB2312" w:eastAsia="仿宋_GB2312" w:cs="仿宋_GB2312"/>
          <w:color w:val="auto"/>
          <w:sz w:val="32"/>
          <w:szCs w:val="32"/>
          <w:lang w:val="en-US" w:eastAsia="zh-CN"/>
        </w:rPr>
        <w:t>14.68</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同比增长</w:t>
      </w:r>
      <w:r>
        <w:rPr>
          <w:rFonts w:hint="eastAsia" w:ascii="仿宋_GB2312" w:hAnsi="仿宋_GB2312" w:eastAsia="仿宋_GB2312" w:cs="仿宋_GB2312"/>
          <w:color w:val="auto"/>
          <w:sz w:val="32"/>
          <w:szCs w:val="32"/>
          <w:lang w:val="en-US" w:eastAsia="zh-CN"/>
        </w:rPr>
        <w:t>16.89</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drawing>
          <wp:anchor distT="0" distB="0" distL="114300" distR="114300" simplePos="0" relativeHeight="251663360" behindDoc="0" locked="0" layoutInCell="1" allowOverlap="1">
            <wp:simplePos x="0" y="0"/>
            <wp:positionH relativeFrom="column">
              <wp:posOffset>128270</wp:posOffset>
            </wp:positionH>
            <wp:positionV relativeFrom="paragraph">
              <wp:posOffset>50165</wp:posOffset>
            </wp:positionV>
            <wp:extent cx="5057775" cy="2312670"/>
            <wp:effectExtent l="4445" t="4445" r="5080" b="698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bCs/>
          <w:sz w:val="32"/>
          <w:szCs w:val="32"/>
          <w:lang w:val="en-US" w:eastAsia="zh-CN"/>
        </w:rPr>
      </w:pPr>
      <w:r>
        <w:rPr>
          <w:rFonts w:hint="eastAsia" w:ascii="仿宋_GB2312" w:hAnsi="仿宋_GB2312" w:eastAsia="仿宋_GB2312" w:cs="仿宋_GB2312"/>
          <w:color w:val="auto"/>
          <w:sz w:val="32"/>
          <w:szCs w:val="32"/>
        </w:rPr>
        <w:t>全县</w:t>
      </w:r>
      <w:r>
        <w:rPr>
          <w:rFonts w:hint="eastAsia" w:ascii="仿宋_GB2312" w:hAnsi="仿宋_GB2312" w:eastAsia="仿宋_GB2312" w:cs="仿宋_GB2312"/>
          <w:color w:val="auto"/>
          <w:sz w:val="32"/>
          <w:szCs w:val="32"/>
          <w:lang w:eastAsia="zh-CN"/>
        </w:rPr>
        <w:t>公共财政预算</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54.77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同比增长</w:t>
      </w:r>
      <w:r>
        <w:rPr>
          <w:rFonts w:hint="eastAsia" w:ascii="仿宋_GB2312" w:hAnsi="仿宋_GB2312" w:eastAsia="仿宋_GB2312" w:cs="仿宋_GB2312"/>
          <w:color w:val="auto"/>
          <w:sz w:val="32"/>
          <w:szCs w:val="32"/>
          <w:lang w:val="en-US" w:eastAsia="zh-CN"/>
        </w:rPr>
        <w:t>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；一般公务支出（</w:t>
      </w:r>
      <w:r>
        <w:rPr>
          <w:rFonts w:hint="eastAsia" w:ascii="仿宋_GB2312" w:hAnsi="仿宋_GB2312" w:eastAsia="仿宋_GB2312" w:cs="仿宋_GB2312"/>
          <w:color w:val="auto"/>
          <w:sz w:val="32"/>
          <w:szCs w:val="32"/>
          <w:lang w:val="en-US" w:eastAsia="zh-CN"/>
        </w:rPr>
        <w:t>8类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35.56亿元，同比增长-2.20%</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textAlignment w:val="auto"/>
        <w:outlineLvl w:val="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20</w:t>
      </w:r>
      <w:r>
        <w:rPr>
          <w:rFonts w:hint="eastAsia" w:ascii="仿宋_GB2312" w:hAnsi="仿宋_GB2312" w:eastAsia="仿宋_GB2312" w:cs="仿宋_GB2312"/>
          <w:b w:val="0"/>
          <w:bCs/>
          <w:color w:val="auto"/>
          <w:sz w:val="32"/>
          <w:szCs w:val="32"/>
          <w:lang w:val="en-US" w:eastAsia="zh-CN"/>
        </w:rPr>
        <w:t>20</w:t>
      </w:r>
      <w:r>
        <w:rPr>
          <w:rFonts w:hint="eastAsia" w:ascii="仿宋_GB2312" w:hAnsi="仿宋_GB2312" w:eastAsia="仿宋_GB2312" w:cs="仿宋_GB2312"/>
          <w:b w:val="0"/>
          <w:bCs/>
          <w:color w:val="auto"/>
          <w:sz w:val="32"/>
          <w:szCs w:val="32"/>
        </w:rPr>
        <w:t>年财政支出主要指标及其增长速度</w:t>
      </w:r>
    </w:p>
    <w:tbl>
      <w:tblPr>
        <w:tblStyle w:val="6"/>
        <w:tblW w:w="8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80"/>
        <w:gridCol w:w="2366"/>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980" w:type="dxa"/>
            <w:tcBorders>
              <w:top w:val="nil"/>
              <w:left w:val="single" w:color="9BC2E6" w:sz="4" w:space="0"/>
              <w:bottom w:val="nil"/>
              <w:right w:val="nil"/>
            </w:tcBorders>
            <w:shd w:val="clear" w:color="5B9BD5"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2366" w:type="dxa"/>
            <w:tcBorders>
              <w:top w:val="nil"/>
              <w:left w:val="nil"/>
              <w:bottom w:val="nil"/>
              <w:right w:val="nil"/>
            </w:tcBorders>
            <w:shd w:val="clear" w:color="5B9BD5"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绝对数（亿元）</w:t>
            </w:r>
          </w:p>
        </w:tc>
        <w:tc>
          <w:tcPr>
            <w:tcW w:w="2925" w:type="dxa"/>
            <w:tcBorders>
              <w:top w:val="nil"/>
              <w:left w:val="nil"/>
              <w:bottom w:val="nil"/>
              <w:right w:val="single" w:color="9BC2E6" w:sz="4" w:space="0"/>
            </w:tcBorders>
            <w:shd w:val="clear" w:color="5B9BD5" w:fill="5B9B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同比增长</w:t>
            </w:r>
            <w:r>
              <w:rPr>
                <w:rFonts w:hint="eastAsia" w:ascii="宋体" w:hAnsi="宋体" w:eastAsia="宋体" w:cs="宋体"/>
                <w:b/>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80"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一般公务支出（8类指标）</w:t>
            </w:r>
          </w:p>
        </w:tc>
        <w:tc>
          <w:tcPr>
            <w:tcW w:w="2366"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35.56 </w:t>
            </w:r>
          </w:p>
        </w:tc>
        <w:tc>
          <w:tcPr>
            <w:tcW w:w="2925"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80"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w:t>
            </w:r>
          </w:p>
        </w:tc>
        <w:tc>
          <w:tcPr>
            <w:tcW w:w="2366"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 </w:t>
            </w:r>
          </w:p>
        </w:tc>
        <w:tc>
          <w:tcPr>
            <w:tcW w:w="2925" w:type="dxa"/>
            <w:tcBorders>
              <w:top w:val="single" w:color="9BC2E6" w:sz="4" w:space="0"/>
              <w:left w:val="nil"/>
              <w:bottom w:val="nil"/>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80"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w:t>
            </w:r>
          </w:p>
        </w:tc>
        <w:tc>
          <w:tcPr>
            <w:tcW w:w="2366"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1.69 </w:t>
            </w:r>
          </w:p>
        </w:tc>
        <w:tc>
          <w:tcPr>
            <w:tcW w:w="2925"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80"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    育</w:t>
            </w:r>
          </w:p>
        </w:tc>
        <w:tc>
          <w:tcPr>
            <w:tcW w:w="2366"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13.15 </w:t>
            </w:r>
          </w:p>
        </w:tc>
        <w:tc>
          <w:tcPr>
            <w:tcW w:w="2925" w:type="dxa"/>
            <w:tcBorders>
              <w:top w:val="single" w:color="9BC2E6" w:sz="4" w:space="0"/>
              <w:left w:val="nil"/>
              <w:bottom w:val="nil"/>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80"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w:t>
            </w:r>
          </w:p>
        </w:tc>
        <w:tc>
          <w:tcPr>
            <w:tcW w:w="2366"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 </w:t>
            </w:r>
          </w:p>
        </w:tc>
        <w:tc>
          <w:tcPr>
            <w:tcW w:w="2925"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80"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w:t>
            </w:r>
          </w:p>
        </w:tc>
        <w:tc>
          <w:tcPr>
            <w:tcW w:w="2366"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6.66 </w:t>
            </w:r>
          </w:p>
        </w:tc>
        <w:tc>
          <w:tcPr>
            <w:tcW w:w="2925" w:type="dxa"/>
            <w:tcBorders>
              <w:top w:val="single" w:color="9BC2E6" w:sz="4" w:space="0"/>
              <w:left w:val="nil"/>
              <w:bottom w:val="nil"/>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80"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w:t>
            </w:r>
          </w:p>
        </w:tc>
        <w:tc>
          <w:tcPr>
            <w:tcW w:w="2366"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4.37 </w:t>
            </w:r>
          </w:p>
        </w:tc>
        <w:tc>
          <w:tcPr>
            <w:tcW w:w="2925"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80"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w:t>
            </w:r>
          </w:p>
        </w:tc>
        <w:tc>
          <w:tcPr>
            <w:tcW w:w="2366"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 </w:t>
            </w:r>
          </w:p>
        </w:tc>
        <w:tc>
          <w:tcPr>
            <w:tcW w:w="2925" w:type="dxa"/>
            <w:tcBorders>
              <w:top w:val="single" w:color="9BC2E6" w:sz="4" w:space="0"/>
              <w:left w:val="nil"/>
              <w:bottom w:val="nil"/>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80"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w:t>
            </w:r>
          </w:p>
        </w:tc>
        <w:tc>
          <w:tcPr>
            <w:tcW w:w="2366"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0.98 </w:t>
            </w:r>
          </w:p>
        </w:tc>
        <w:tc>
          <w:tcPr>
            <w:tcW w:w="2925"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-59.31 </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仿宋_GB2312" w:eastAsia="仿宋_GB2312"/>
          <w:bCs/>
          <w:sz w:val="32"/>
          <w:szCs w:val="32"/>
        </w:rPr>
      </w:pPr>
      <w:r>
        <w:rPr>
          <w:rFonts w:hint="eastAsia" w:ascii="仿宋_GB2312" w:hAnsi="仿宋_GB2312" w:eastAsia="仿宋_GB2312"/>
          <w:bCs/>
          <w:sz w:val="32"/>
          <w:szCs w:val="32"/>
        </w:rPr>
        <w:t>年末金融机构人民币各项存款余额</w:t>
      </w:r>
      <w:r>
        <w:rPr>
          <w:rFonts w:hint="eastAsia" w:ascii="仿宋_GB2312" w:hAnsi="仿宋_GB2312" w:eastAsia="仿宋_GB2312"/>
          <w:bCs/>
          <w:sz w:val="32"/>
          <w:szCs w:val="32"/>
          <w:lang w:val="en-US" w:eastAsia="zh-CN"/>
        </w:rPr>
        <w:t>230.13</w:t>
      </w:r>
      <w:r>
        <w:rPr>
          <w:rFonts w:hint="eastAsia" w:ascii="仿宋_GB2312" w:hAnsi="仿宋_GB2312" w:eastAsia="仿宋_GB2312"/>
          <w:bCs/>
          <w:sz w:val="32"/>
          <w:szCs w:val="32"/>
        </w:rPr>
        <w:t>亿元，比上年末增长</w:t>
      </w:r>
      <w:r>
        <w:rPr>
          <w:rFonts w:hint="eastAsia" w:ascii="仿宋_GB2312" w:eastAsia="仿宋_GB2312"/>
          <w:bCs/>
          <w:sz w:val="32"/>
          <w:szCs w:val="32"/>
          <w:lang w:val="en-US" w:eastAsia="zh-CN"/>
        </w:rPr>
        <w:t>1.77</w:t>
      </w:r>
      <w:r>
        <w:rPr>
          <w:rFonts w:hint="eastAsia" w:ascii="仿宋_GB2312" w:eastAsia="仿宋_GB2312"/>
          <w:bCs/>
          <w:sz w:val="32"/>
          <w:szCs w:val="32"/>
        </w:rPr>
        <w:t>%</w:t>
      </w:r>
      <w:r>
        <w:rPr>
          <w:rFonts w:hint="eastAsia" w:ascii="仿宋_GB2312" w:hAnsi="仿宋_GB2312" w:eastAsia="仿宋_GB2312"/>
          <w:bCs/>
          <w:sz w:val="32"/>
          <w:szCs w:val="32"/>
        </w:rPr>
        <w:t>。其中，住户存款</w:t>
      </w:r>
      <w:r>
        <w:rPr>
          <w:rFonts w:hint="eastAsia" w:ascii="仿宋_GB2312" w:eastAsia="仿宋_GB2312"/>
          <w:bCs/>
          <w:sz w:val="32"/>
          <w:szCs w:val="32"/>
          <w:lang w:val="en-US" w:eastAsia="zh-CN"/>
        </w:rPr>
        <w:t>148.70</w:t>
      </w:r>
      <w:r>
        <w:rPr>
          <w:rFonts w:hint="eastAsia" w:ascii="仿宋_GB2312" w:hAnsi="仿宋_GB2312" w:eastAsia="仿宋_GB2312"/>
          <w:bCs/>
          <w:sz w:val="32"/>
          <w:szCs w:val="32"/>
        </w:rPr>
        <w:t>亿元，占金融机构人民币各项存款余额的比重为</w:t>
      </w:r>
      <w:r>
        <w:rPr>
          <w:rFonts w:hint="eastAsia" w:ascii="仿宋_GB2312" w:eastAsia="仿宋_GB2312"/>
          <w:bCs/>
          <w:sz w:val="32"/>
          <w:szCs w:val="32"/>
          <w:lang w:val="en-US" w:eastAsia="zh-CN"/>
        </w:rPr>
        <w:t>64.62</w:t>
      </w:r>
      <w:r>
        <w:rPr>
          <w:rFonts w:hint="eastAsia" w:ascii="仿宋_GB2312" w:eastAsia="仿宋_GB2312"/>
          <w:bCs/>
          <w:sz w:val="32"/>
          <w:szCs w:val="32"/>
        </w:rPr>
        <w:t>%</w:t>
      </w:r>
      <w:r>
        <w:rPr>
          <w:rFonts w:hint="eastAsia" w:ascii="仿宋_GB2312" w:hAnsi="仿宋_GB2312" w:eastAsia="仿宋_GB2312"/>
          <w:bCs/>
          <w:sz w:val="32"/>
          <w:szCs w:val="32"/>
        </w:rPr>
        <w:t>；非金融企业存款</w:t>
      </w:r>
      <w:r>
        <w:rPr>
          <w:rFonts w:hint="eastAsia" w:ascii="仿宋_GB2312" w:eastAsia="仿宋_GB2312"/>
          <w:bCs/>
          <w:sz w:val="32"/>
          <w:szCs w:val="32"/>
          <w:lang w:val="en-US" w:eastAsia="zh-CN"/>
        </w:rPr>
        <w:t>49.42</w:t>
      </w:r>
      <w:r>
        <w:rPr>
          <w:rFonts w:hint="eastAsia" w:ascii="仿宋_GB2312" w:hAnsi="仿宋_GB2312" w:eastAsia="仿宋_GB2312"/>
          <w:bCs/>
          <w:sz w:val="32"/>
          <w:szCs w:val="32"/>
        </w:rPr>
        <w:t>亿元，</w:t>
      </w:r>
      <w:r>
        <w:rPr>
          <w:rFonts w:hint="eastAsia" w:ascii="仿宋_GB2312" w:hAnsi="仿宋_GB2312" w:eastAsia="仿宋_GB2312"/>
          <w:bCs/>
          <w:sz w:val="32"/>
          <w:szCs w:val="32"/>
          <w:lang w:eastAsia="zh-CN"/>
        </w:rPr>
        <w:t>占比</w:t>
      </w:r>
      <w:r>
        <w:rPr>
          <w:rFonts w:hint="eastAsia" w:ascii="仿宋_GB2312" w:hAnsi="仿宋_GB2312" w:eastAsia="仿宋_GB2312"/>
          <w:bCs/>
          <w:sz w:val="32"/>
          <w:szCs w:val="32"/>
        </w:rPr>
        <w:t>为</w:t>
      </w:r>
      <w:r>
        <w:rPr>
          <w:rFonts w:hint="eastAsia" w:ascii="仿宋_GB2312" w:eastAsia="仿宋_GB2312"/>
          <w:bCs/>
          <w:sz w:val="32"/>
          <w:szCs w:val="32"/>
          <w:lang w:val="en-US" w:eastAsia="zh-CN"/>
        </w:rPr>
        <w:t>21.47</w:t>
      </w:r>
      <w:r>
        <w:rPr>
          <w:rFonts w:hint="eastAsia" w:ascii="仿宋_GB2312" w:eastAsia="仿宋_GB2312"/>
          <w:bCs/>
          <w:sz w:val="32"/>
          <w:szCs w:val="32"/>
        </w:rPr>
        <w:t>%</w:t>
      </w:r>
      <w:r>
        <w:rPr>
          <w:rFonts w:hint="eastAsia" w:ascii="仿宋_GB2312" w:hAnsi="仿宋_GB2312" w:eastAsia="仿宋_GB2312"/>
          <w:bCs/>
          <w:sz w:val="32"/>
          <w:szCs w:val="32"/>
        </w:rPr>
        <w:t>；广义政府存款</w:t>
      </w:r>
      <w:r>
        <w:rPr>
          <w:rFonts w:hint="eastAsia" w:ascii="仿宋_GB2312" w:eastAsia="仿宋_GB2312"/>
          <w:bCs/>
          <w:sz w:val="32"/>
          <w:szCs w:val="32"/>
          <w:lang w:val="en-US" w:eastAsia="zh-CN"/>
        </w:rPr>
        <w:t>31.99</w:t>
      </w:r>
      <w:r>
        <w:rPr>
          <w:rFonts w:hint="eastAsia" w:ascii="仿宋_GB2312" w:hAnsi="仿宋_GB2312" w:eastAsia="仿宋_GB2312"/>
          <w:bCs/>
          <w:sz w:val="32"/>
          <w:szCs w:val="32"/>
        </w:rPr>
        <w:t>亿元，</w:t>
      </w:r>
      <w:r>
        <w:rPr>
          <w:rFonts w:hint="eastAsia" w:ascii="仿宋_GB2312" w:hAnsi="仿宋_GB2312" w:eastAsia="仿宋_GB2312"/>
          <w:bCs/>
          <w:sz w:val="32"/>
          <w:szCs w:val="32"/>
          <w:lang w:eastAsia="zh-CN"/>
        </w:rPr>
        <w:t>占比</w:t>
      </w:r>
      <w:r>
        <w:rPr>
          <w:rFonts w:hint="eastAsia" w:ascii="仿宋_GB2312" w:hAnsi="仿宋_GB2312" w:eastAsia="仿宋_GB2312"/>
          <w:bCs/>
          <w:sz w:val="32"/>
          <w:szCs w:val="32"/>
        </w:rPr>
        <w:t>为</w:t>
      </w:r>
      <w:r>
        <w:rPr>
          <w:rFonts w:hint="eastAsia" w:ascii="仿宋_GB2312" w:eastAsia="仿宋_GB2312"/>
          <w:bCs/>
          <w:sz w:val="32"/>
          <w:szCs w:val="32"/>
          <w:lang w:val="en-US" w:eastAsia="zh-CN"/>
        </w:rPr>
        <w:t>13.9</w:t>
      </w:r>
      <w:r>
        <w:rPr>
          <w:rFonts w:hint="eastAsia" w:ascii="仿宋_GB2312" w:eastAsia="仿宋_GB2312"/>
          <w:bCs/>
          <w:sz w:val="32"/>
          <w:szCs w:val="32"/>
        </w:rPr>
        <w:t>%</w:t>
      </w:r>
      <w:r>
        <w:rPr>
          <w:rFonts w:hint="eastAsia" w:ascii="仿宋_GB2312" w:hAns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bCs/>
          <w:sz w:val="32"/>
          <w:szCs w:val="32"/>
        </w:rPr>
      </w:pPr>
      <w:r>
        <w:rPr>
          <w:rFonts w:hint="eastAsia" w:ascii="仿宋_GB2312" w:hAnsi="仿宋_GB2312" w:eastAsia="仿宋_GB2312"/>
          <w:bCs/>
          <w:sz w:val="32"/>
          <w:szCs w:val="32"/>
        </w:rPr>
        <w:t>年末金融机构人民币各项贷款余额</w:t>
      </w:r>
      <w:r>
        <w:rPr>
          <w:rFonts w:hint="eastAsia" w:ascii="仿宋_GB2312" w:hAnsi="仿宋_GB2312" w:eastAsia="仿宋_GB2312"/>
          <w:bCs/>
          <w:sz w:val="32"/>
          <w:szCs w:val="32"/>
          <w:lang w:val="en-US" w:eastAsia="zh-CN"/>
        </w:rPr>
        <w:t>271.57</w:t>
      </w:r>
      <w:r>
        <w:rPr>
          <w:rFonts w:hint="eastAsia" w:ascii="仿宋_GB2312" w:hAnsi="仿宋_GB2312" w:eastAsia="仿宋_GB2312"/>
          <w:bCs/>
          <w:sz w:val="32"/>
          <w:szCs w:val="32"/>
        </w:rPr>
        <w:t>亿元，比上年末增长</w:t>
      </w:r>
      <w:r>
        <w:rPr>
          <w:rFonts w:hint="eastAsia" w:ascii="仿宋_GB2312" w:hAnsi="仿宋_GB2312" w:eastAsia="仿宋_GB2312"/>
          <w:bCs/>
          <w:sz w:val="32"/>
          <w:szCs w:val="32"/>
          <w:lang w:val="en-US" w:eastAsia="zh-CN"/>
        </w:rPr>
        <w:t>12.81</w:t>
      </w:r>
      <w:r>
        <w:rPr>
          <w:rFonts w:hint="eastAsia" w:ascii="仿宋_GB2312" w:hAnsi="仿宋_GB2312" w:eastAsia="仿宋_GB2312"/>
          <w:bCs/>
          <w:sz w:val="32"/>
          <w:szCs w:val="32"/>
        </w:rPr>
        <w:t>%。其中，住户贷款</w:t>
      </w:r>
      <w:r>
        <w:rPr>
          <w:rFonts w:hint="eastAsia" w:ascii="仿宋_GB2312" w:hAnsi="仿宋_GB2312" w:eastAsia="仿宋_GB2312"/>
          <w:bCs/>
          <w:sz w:val="32"/>
          <w:szCs w:val="32"/>
          <w:lang w:val="en-US" w:eastAsia="zh-CN"/>
        </w:rPr>
        <w:t>96.93</w:t>
      </w:r>
      <w:r>
        <w:rPr>
          <w:rFonts w:hint="eastAsia" w:ascii="仿宋_GB2312" w:hAnsi="仿宋_GB2312" w:eastAsia="仿宋_GB2312"/>
          <w:bCs/>
          <w:sz w:val="32"/>
          <w:szCs w:val="32"/>
        </w:rPr>
        <w:t>亿元，占金融机构人民币各项贷款余额的比重为</w:t>
      </w:r>
      <w:r>
        <w:rPr>
          <w:rFonts w:hint="eastAsia" w:ascii="仿宋_GB2312" w:hAnsi="仿宋_GB2312" w:eastAsia="仿宋_GB2312"/>
          <w:bCs/>
          <w:sz w:val="32"/>
          <w:szCs w:val="32"/>
          <w:lang w:val="en-US" w:eastAsia="zh-CN"/>
        </w:rPr>
        <w:t>35.69</w:t>
      </w:r>
      <w:r>
        <w:rPr>
          <w:rFonts w:hint="eastAsia" w:ascii="仿宋_GB2312" w:hAnsi="仿宋_GB2312" w:eastAsia="仿宋_GB2312"/>
          <w:bCs/>
          <w:sz w:val="32"/>
          <w:szCs w:val="32"/>
        </w:rPr>
        <w:t>%；非金融企业及机关团体贷款</w:t>
      </w:r>
      <w:r>
        <w:rPr>
          <w:rFonts w:hint="eastAsia" w:ascii="仿宋_GB2312" w:hAnsi="仿宋_GB2312" w:eastAsia="仿宋_GB2312"/>
          <w:bCs/>
          <w:sz w:val="32"/>
          <w:szCs w:val="32"/>
          <w:lang w:val="en-US" w:eastAsia="zh-CN"/>
        </w:rPr>
        <w:t>174.64</w:t>
      </w:r>
      <w:r>
        <w:rPr>
          <w:rFonts w:hint="eastAsia" w:ascii="仿宋_GB2312" w:hAnsi="仿宋_GB2312" w:eastAsia="仿宋_GB2312"/>
          <w:bCs/>
          <w:sz w:val="32"/>
          <w:szCs w:val="32"/>
        </w:rPr>
        <w:t>亿元，</w:t>
      </w:r>
      <w:r>
        <w:rPr>
          <w:rFonts w:hint="eastAsia" w:ascii="仿宋_GB2312" w:hAnsi="仿宋_GB2312" w:eastAsia="仿宋_GB2312"/>
          <w:bCs/>
          <w:sz w:val="32"/>
          <w:szCs w:val="32"/>
          <w:lang w:eastAsia="zh-CN"/>
        </w:rPr>
        <w:t>占比</w:t>
      </w:r>
      <w:r>
        <w:rPr>
          <w:rFonts w:hint="eastAsia" w:ascii="仿宋_GB2312" w:hAnsi="仿宋_GB2312" w:eastAsia="仿宋_GB2312"/>
          <w:bCs/>
          <w:sz w:val="32"/>
          <w:szCs w:val="32"/>
        </w:rPr>
        <w:t>为</w:t>
      </w:r>
      <w:r>
        <w:rPr>
          <w:rFonts w:hint="eastAsia" w:ascii="仿宋_GB2312" w:hAnsi="仿宋_GB2312" w:eastAsia="仿宋_GB2312"/>
          <w:bCs/>
          <w:sz w:val="32"/>
          <w:szCs w:val="32"/>
          <w:lang w:val="en-US" w:eastAsia="zh-CN"/>
        </w:rPr>
        <w:t>64.31</w:t>
      </w:r>
      <w:r>
        <w:rPr>
          <w:rFonts w:hint="eastAsia" w:ascii="仿宋_GB2312" w:hAnsi="仿宋_GB2312" w:eastAsia="仿宋_GB2312"/>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bCs/>
          <w:sz w:val="32"/>
          <w:szCs w:val="32"/>
        </w:rPr>
      </w:pPr>
      <w:r>
        <w:rPr>
          <w:rFonts w:hint="eastAsia" w:ascii="仿宋_GB2312" w:hAnsi="仿宋_GB2312" w:eastAsia="仿宋_GB2312" w:cs="仿宋_GB2312"/>
          <w:color w:val="auto"/>
          <w:sz w:val="32"/>
          <w:szCs w:val="32"/>
          <w:lang w:val="en-US" w:eastAsia="zh-CN"/>
        </w:rPr>
        <w:t>2020年末全部金融机构存贷款余额及其增长速度</w:t>
      </w:r>
    </w:p>
    <w:tbl>
      <w:tblPr>
        <w:tblStyle w:val="6"/>
        <w:tblW w:w="8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41"/>
        <w:gridCol w:w="2505"/>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141" w:type="dxa"/>
            <w:tcBorders>
              <w:top w:val="nil"/>
              <w:left w:val="single" w:color="9BC2E6" w:sz="4" w:space="0"/>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2505" w:type="dxa"/>
            <w:tcBorders>
              <w:top w:val="nil"/>
              <w:left w:val="nil"/>
              <w:bottom w:val="nil"/>
              <w:right w:val="nil"/>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12月末余额</w:t>
            </w:r>
          </w:p>
        </w:tc>
        <w:tc>
          <w:tcPr>
            <w:tcW w:w="2640" w:type="dxa"/>
            <w:tcBorders>
              <w:top w:val="nil"/>
              <w:left w:val="nil"/>
              <w:bottom w:val="nil"/>
              <w:right w:val="single" w:color="9BC2E6" w:sz="4" w:space="0"/>
            </w:tcBorders>
            <w:shd w:val="clear" w:color="5B9BD5"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同比增长</w:t>
            </w:r>
            <w:r>
              <w:rPr>
                <w:rFonts w:hint="eastAsia" w:ascii="宋体" w:hAnsi="宋体" w:eastAsia="宋体" w:cs="宋体"/>
                <w:b/>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141" w:type="dxa"/>
            <w:tcBorders>
              <w:top w:val="single" w:color="9BC2E6" w:sz="4" w:space="0"/>
              <w:left w:val="single" w:color="9BC2E6" w:sz="4" w:space="0"/>
              <w:bottom w:val="nil"/>
              <w:right w:val="nil"/>
            </w:tcBorders>
            <w:shd w:val="clear" w:color="DDEBF7" w:fill="DDEB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金融机构各项存款余额（亿元）</w:t>
            </w:r>
          </w:p>
        </w:tc>
        <w:tc>
          <w:tcPr>
            <w:tcW w:w="2505"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230.13 </w:t>
            </w:r>
          </w:p>
        </w:tc>
        <w:tc>
          <w:tcPr>
            <w:tcW w:w="2640"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141"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境内存款</w:t>
            </w:r>
          </w:p>
        </w:tc>
        <w:tc>
          <w:tcPr>
            <w:tcW w:w="2505"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230.11 </w:t>
            </w:r>
          </w:p>
        </w:tc>
        <w:tc>
          <w:tcPr>
            <w:tcW w:w="2640" w:type="dxa"/>
            <w:tcBorders>
              <w:top w:val="single" w:color="9BC2E6" w:sz="4" w:space="0"/>
              <w:left w:val="nil"/>
              <w:bottom w:val="nil"/>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3141"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住户存款</w:t>
            </w:r>
          </w:p>
        </w:tc>
        <w:tc>
          <w:tcPr>
            <w:tcW w:w="2505"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148.70 </w:t>
            </w:r>
          </w:p>
        </w:tc>
        <w:tc>
          <w:tcPr>
            <w:tcW w:w="2640"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3141"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非金融企业存款</w:t>
            </w:r>
          </w:p>
        </w:tc>
        <w:tc>
          <w:tcPr>
            <w:tcW w:w="2505"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49.42 </w:t>
            </w:r>
          </w:p>
        </w:tc>
        <w:tc>
          <w:tcPr>
            <w:tcW w:w="2640" w:type="dxa"/>
            <w:tcBorders>
              <w:top w:val="single" w:color="9BC2E6" w:sz="4" w:space="0"/>
              <w:left w:val="nil"/>
              <w:bottom w:val="nil"/>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3141"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广义政府存款</w:t>
            </w:r>
          </w:p>
        </w:tc>
        <w:tc>
          <w:tcPr>
            <w:tcW w:w="2505"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31.99 </w:t>
            </w:r>
          </w:p>
        </w:tc>
        <w:tc>
          <w:tcPr>
            <w:tcW w:w="2640"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3141"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金融机构各项贷款余额（亿元）</w:t>
            </w:r>
          </w:p>
        </w:tc>
        <w:tc>
          <w:tcPr>
            <w:tcW w:w="2505"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271.57 </w:t>
            </w:r>
          </w:p>
        </w:tc>
        <w:tc>
          <w:tcPr>
            <w:tcW w:w="2640" w:type="dxa"/>
            <w:tcBorders>
              <w:top w:val="single" w:color="9BC2E6" w:sz="4" w:space="0"/>
              <w:left w:val="nil"/>
              <w:bottom w:val="nil"/>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trPr>
        <w:tc>
          <w:tcPr>
            <w:tcW w:w="3141"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境内贷款</w:t>
            </w:r>
          </w:p>
        </w:tc>
        <w:tc>
          <w:tcPr>
            <w:tcW w:w="2505"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271.57 </w:t>
            </w:r>
          </w:p>
        </w:tc>
        <w:tc>
          <w:tcPr>
            <w:tcW w:w="2640"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141" w:type="dxa"/>
            <w:tcBorders>
              <w:top w:val="single" w:color="9BC2E6" w:sz="4" w:space="0"/>
              <w:left w:val="single" w:color="9BC2E6"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住户贷款</w:t>
            </w:r>
          </w:p>
        </w:tc>
        <w:tc>
          <w:tcPr>
            <w:tcW w:w="2505" w:type="dxa"/>
            <w:tcBorders>
              <w:top w:val="single" w:color="9BC2E6"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96.93 </w:t>
            </w:r>
          </w:p>
        </w:tc>
        <w:tc>
          <w:tcPr>
            <w:tcW w:w="2640" w:type="dxa"/>
            <w:tcBorders>
              <w:top w:val="single" w:color="9BC2E6" w:sz="4" w:space="0"/>
              <w:left w:val="nil"/>
              <w:bottom w:val="nil"/>
              <w:right w:val="single" w:color="9BC2E6"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3141" w:type="dxa"/>
            <w:tcBorders>
              <w:top w:val="single" w:color="9BC2E6" w:sz="4" w:space="0"/>
              <w:left w:val="single" w:color="9BC2E6" w:sz="4" w:space="0"/>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非金融企业及机关团体贷款</w:t>
            </w:r>
          </w:p>
        </w:tc>
        <w:tc>
          <w:tcPr>
            <w:tcW w:w="2505" w:type="dxa"/>
            <w:tcBorders>
              <w:top w:val="single" w:color="9BC2E6" w:sz="4" w:space="0"/>
              <w:left w:val="nil"/>
              <w:bottom w:val="nil"/>
              <w:right w:val="nil"/>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174.64 </w:t>
            </w:r>
          </w:p>
        </w:tc>
        <w:tc>
          <w:tcPr>
            <w:tcW w:w="2640" w:type="dxa"/>
            <w:tcBorders>
              <w:top w:val="single" w:color="9BC2E6" w:sz="4" w:space="0"/>
              <w:left w:val="nil"/>
              <w:bottom w:val="nil"/>
              <w:right w:val="single" w:color="9BC2E6" w:sz="4" w:space="0"/>
            </w:tcBorders>
            <w:shd w:val="clear" w:color="DDEBF7"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9.68 </w:t>
            </w:r>
          </w:p>
        </w:tc>
      </w:tr>
    </w:tbl>
    <w:p>
      <w:pPr>
        <w:ind w:firstLine="640" w:firstLineChars="200"/>
        <w:rPr>
          <w:rFonts w:hint="eastAsia" w:ascii="仿宋_GB2312" w:hAnsi="仿宋_GB2312" w:eastAsia="黑体" w:cs="仿宋_GB2312"/>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教育、卫生、</w:t>
      </w:r>
      <w:r>
        <w:rPr>
          <w:rFonts w:hint="eastAsia" w:ascii="黑体" w:hAnsi="黑体" w:eastAsia="黑体" w:cs="黑体"/>
          <w:sz w:val="32"/>
          <w:szCs w:val="32"/>
          <w:lang w:eastAsia="zh-CN"/>
        </w:rPr>
        <w:t>社会服务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sz w:val="32"/>
          <w:szCs w:val="32"/>
          <w14:textFill>
            <w14:solidFill>
              <w14:schemeClr w14:val="tx1"/>
            </w14:solidFill>
          </w14:textFill>
        </w:rPr>
        <w:t>全县共有幼儿园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167</w:t>
      </w:r>
      <w:r>
        <w:rPr>
          <w:rFonts w:hint="eastAsia" w:ascii="仿宋_GB2312" w:hAnsi="仿宋_GB2312" w:eastAsia="仿宋_GB2312" w:cs="仿宋_GB2312"/>
          <w:color w:val="000000" w:themeColor="text1"/>
          <w:sz w:val="32"/>
          <w:szCs w:val="32"/>
          <w14:textFill>
            <w14:solidFill>
              <w14:schemeClr w14:val="tx1"/>
            </w14:solidFill>
          </w14:textFill>
        </w:rPr>
        <w:t>间，幼儿园在校学生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27018</w:t>
      </w:r>
      <w:r>
        <w:rPr>
          <w:rFonts w:hint="eastAsia" w:ascii="仿宋_GB2312" w:hAnsi="仿宋_GB2312" w:eastAsia="仿宋_GB2312" w:cs="仿宋_GB2312"/>
          <w:color w:val="000000" w:themeColor="text1"/>
          <w:sz w:val="32"/>
          <w:szCs w:val="32"/>
          <w14:textFill>
            <w14:solidFill>
              <w14:schemeClr w14:val="tx1"/>
            </w14:solidFill>
          </w14:textFill>
        </w:rPr>
        <w:t>人，幼儿园专职教师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1414</w:t>
      </w:r>
      <w:r>
        <w:rPr>
          <w:rFonts w:hint="eastAsia" w:ascii="仿宋_GB2312" w:hAnsi="仿宋_GB2312" w:eastAsia="仿宋_GB2312" w:cs="仿宋_GB2312"/>
          <w:color w:val="000000" w:themeColor="text1"/>
          <w:sz w:val="32"/>
          <w:szCs w:val="32"/>
          <w14:textFill>
            <w14:solidFill>
              <w14:schemeClr w14:val="tx1"/>
            </w14:solidFill>
          </w14:textFill>
        </w:rPr>
        <w:t>人；小学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w:t>
      </w:r>
      <w:r>
        <w:rPr>
          <w:rFonts w:hint="eastAsia" w:ascii="仿宋_GB2312" w:hAnsi="仿宋_GB2312" w:eastAsia="仿宋_GB2312" w:cs="仿宋_GB2312"/>
          <w:color w:val="000000" w:themeColor="text1"/>
          <w:sz w:val="32"/>
          <w:szCs w:val="32"/>
          <w14:textFill>
            <w14:solidFill>
              <w14:schemeClr w14:val="tx1"/>
            </w14:solidFill>
          </w14:textFill>
        </w:rPr>
        <w:t>间，小学在校学生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66144</w:t>
      </w:r>
      <w:r>
        <w:rPr>
          <w:rFonts w:hint="eastAsia" w:ascii="仿宋_GB2312" w:hAnsi="仿宋_GB2312" w:eastAsia="仿宋_GB2312" w:cs="仿宋_GB2312"/>
          <w:color w:val="000000" w:themeColor="text1"/>
          <w:sz w:val="32"/>
          <w:szCs w:val="32"/>
          <w14:textFill>
            <w14:solidFill>
              <w14:schemeClr w14:val="tx1"/>
            </w14:solidFill>
          </w14:textFill>
        </w:rPr>
        <w:t>人，小学专职教师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2929</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中学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14:textFill>
            <w14:solidFill>
              <w14:schemeClr w14:val="tx1"/>
            </w14:solidFill>
          </w14:textFill>
        </w:rPr>
        <w:t>间；</w:t>
      </w:r>
      <w:r>
        <w:rPr>
          <w:rFonts w:hint="eastAsia" w:ascii="仿宋_GB2312" w:hAnsi="仿宋_GB2312" w:eastAsia="仿宋_GB2312" w:cs="仿宋_GB2312"/>
          <w:color w:val="000000" w:themeColor="text1"/>
          <w:sz w:val="32"/>
          <w:szCs w:val="32"/>
          <w:lang w:eastAsia="zh-CN"/>
          <w14:textFill>
            <w14:solidFill>
              <w14:schemeClr w14:val="tx1"/>
            </w14:solidFill>
          </w14:textFill>
        </w:rPr>
        <w:t>中学</w:t>
      </w:r>
      <w:r>
        <w:rPr>
          <w:rFonts w:hint="eastAsia" w:ascii="仿宋_GB2312" w:hAnsi="仿宋_GB2312" w:eastAsia="仿宋_GB2312" w:cs="仿宋_GB2312"/>
          <w:color w:val="000000" w:themeColor="text1"/>
          <w:sz w:val="32"/>
          <w:szCs w:val="32"/>
          <w14:textFill>
            <w14:solidFill>
              <w14:schemeClr w14:val="tx1"/>
            </w14:solidFill>
          </w14:textFill>
        </w:rPr>
        <w:t>在校学生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45752</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中学</w:t>
      </w:r>
      <w:r>
        <w:rPr>
          <w:rFonts w:hint="eastAsia" w:ascii="仿宋_GB2312" w:hAnsi="仿宋_GB2312" w:eastAsia="仿宋_GB2312" w:cs="仿宋_GB2312"/>
          <w:color w:val="000000" w:themeColor="text1"/>
          <w:sz w:val="32"/>
          <w:szCs w:val="32"/>
          <w14:textFill>
            <w14:solidFill>
              <w14:schemeClr w14:val="tx1"/>
            </w14:solidFill>
          </w14:textFill>
        </w:rPr>
        <w:t>专职教师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2879</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学龄儿童入学率</w:t>
      </w:r>
      <w:r>
        <w:rPr>
          <w:rFonts w:hint="eastAsia" w:ascii="仿宋_GB2312" w:hAnsi="仿宋_GB2312" w:eastAsia="仿宋_GB2312" w:cs="仿宋_GB2312"/>
          <w:color w:val="000000" w:themeColor="text1"/>
          <w:sz w:val="32"/>
          <w:szCs w:val="32"/>
          <w:lang w:eastAsia="zh-CN"/>
          <w14:textFill>
            <w14:solidFill>
              <w14:schemeClr w14:val="tx1"/>
            </w14:solidFill>
          </w14:textFill>
        </w:rPr>
        <w:t>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94.4</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全县拥有卫生机构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473</w:t>
      </w:r>
      <w:r>
        <w:rPr>
          <w:rFonts w:hint="eastAsia" w:ascii="仿宋_GB2312" w:hAnsi="仿宋_GB2312" w:eastAsia="仿宋_GB2312" w:cs="仿宋_GB2312"/>
          <w:color w:val="000000" w:themeColor="text1"/>
          <w:sz w:val="32"/>
          <w:szCs w:val="32"/>
          <w14:textFill>
            <w14:solidFill>
              <w14:schemeClr w14:val="tx1"/>
            </w14:solidFill>
          </w14:textFill>
        </w:rPr>
        <w:t>个，卫生机构拥有床位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3949</w:t>
      </w:r>
      <w:r>
        <w:rPr>
          <w:rFonts w:hint="eastAsia" w:ascii="仿宋_GB2312" w:hAnsi="仿宋_GB2312" w:eastAsia="仿宋_GB2312" w:cs="仿宋_GB2312"/>
          <w:color w:val="000000" w:themeColor="text1"/>
          <w:sz w:val="32"/>
          <w:szCs w:val="32"/>
          <w14:textFill>
            <w14:solidFill>
              <w14:schemeClr w14:val="tx1"/>
            </w14:solidFill>
          </w14:textFill>
        </w:rPr>
        <w:t>张，卫生技术人数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4428</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其中，拥有</w:t>
      </w:r>
      <w:r>
        <w:rPr>
          <w:rFonts w:hint="eastAsia" w:ascii="仿宋_GB2312" w:hAnsi="仿宋_GB2312" w:eastAsia="仿宋_GB2312" w:cs="仿宋_GB2312"/>
          <w:color w:val="000000" w:themeColor="text1"/>
          <w:sz w:val="32"/>
          <w:szCs w:val="32"/>
          <w14:textFill>
            <w14:solidFill>
              <w14:schemeClr w14:val="tx1"/>
            </w14:solidFill>
          </w14:textFill>
        </w:rPr>
        <w:t>副高级职称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135</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拥有</w:t>
      </w:r>
      <w:r>
        <w:rPr>
          <w:rFonts w:hint="eastAsia" w:ascii="仿宋_GB2312" w:hAnsi="仿宋_GB2312" w:eastAsia="仿宋_GB2312" w:cs="仿宋_GB2312"/>
          <w:color w:val="000000" w:themeColor="text1"/>
          <w:sz w:val="32"/>
          <w:szCs w:val="32"/>
          <w14:textFill>
            <w14:solidFill>
              <w14:schemeClr w14:val="tx1"/>
            </w14:solidFill>
          </w14:textFill>
        </w:rPr>
        <w:t>中级职称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348</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每千人床位</w:t>
      </w:r>
      <w:r>
        <w:rPr>
          <w:rFonts w:hint="eastAsia" w:ascii="仿宋_GB2312" w:hAnsi="仿宋_GB2312" w:eastAsia="仿宋_GB2312" w:cs="仿宋_GB2312"/>
          <w:color w:val="000000" w:themeColor="text1"/>
          <w:sz w:val="32"/>
          <w:szCs w:val="32"/>
          <w:lang w:eastAsia="zh-CN"/>
          <w14:textFill>
            <w14:solidFill>
              <w14:schemeClr w14:val="tx1"/>
            </w14:solidFill>
          </w14:textFill>
        </w:rPr>
        <w:t>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7.48</w:t>
      </w:r>
      <w:r>
        <w:rPr>
          <w:rFonts w:hint="eastAsia" w:ascii="仿宋_GB2312" w:hAnsi="仿宋_GB2312" w:eastAsia="仿宋_GB2312" w:cs="仿宋_GB2312"/>
          <w:color w:val="000000" w:themeColor="text1"/>
          <w:sz w:val="32"/>
          <w:szCs w:val="32"/>
          <w14:textFill>
            <w14:solidFill>
              <w14:schemeClr w14:val="tx1"/>
            </w14:solidFill>
          </w14:textFill>
        </w:rPr>
        <w:t>张，每千人医务人员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8.38</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全县拥有</w:t>
      </w:r>
      <w:r>
        <w:rPr>
          <w:rFonts w:hint="eastAsia" w:ascii="仿宋_GB2312" w:hAnsi="仿宋_GB2312" w:eastAsia="仿宋_GB2312" w:cs="仿宋_GB2312"/>
          <w:color w:val="000000" w:themeColor="text1"/>
          <w:sz w:val="32"/>
          <w:szCs w:val="32"/>
          <w14:textFill>
            <w14:solidFill>
              <w14:schemeClr w14:val="tx1"/>
            </w14:solidFill>
          </w14:textFill>
        </w:rPr>
        <w:t>执业医师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1253</w:t>
      </w:r>
      <w:r>
        <w:rPr>
          <w:rFonts w:hint="eastAsia" w:ascii="仿宋_GB2312" w:hAnsi="仿宋_GB2312" w:eastAsia="仿宋_GB2312" w:cs="仿宋_GB2312"/>
          <w:color w:val="000000" w:themeColor="text1"/>
          <w:sz w:val="32"/>
          <w:szCs w:val="32"/>
          <w14:textFill>
            <w14:solidFill>
              <w14:schemeClr w14:val="tx1"/>
            </w14:solidFill>
          </w14:textFill>
        </w:rPr>
        <w:t>人，注册护士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1982</w:t>
      </w:r>
      <w:r>
        <w:rPr>
          <w:rFonts w:hint="eastAsia" w:ascii="仿宋_GB2312" w:hAnsi="仿宋_GB2312" w:eastAsia="仿宋_GB2312" w:cs="仿宋_GB2312"/>
          <w:color w:val="000000" w:themeColor="text1"/>
          <w:sz w:val="32"/>
          <w:szCs w:val="32"/>
          <w14:textFill>
            <w14:solidFill>
              <w14:schemeClr w14:val="tx1"/>
            </w14:solidFill>
          </w14:textFill>
        </w:rPr>
        <w:t>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全县共有养老院21家。养老院床位1389张。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rPr>
        <w:t>人口</w:t>
      </w:r>
      <w:r>
        <w:rPr>
          <w:rFonts w:hint="eastAsia" w:ascii="黑体" w:hAnsi="黑体" w:eastAsia="黑体" w:cs="黑体"/>
          <w:sz w:val="32"/>
          <w:szCs w:val="32"/>
          <w:lang w:eastAsia="zh-CN"/>
        </w:rPr>
        <w:t>、就业、</w:t>
      </w:r>
      <w:r>
        <w:rPr>
          <w:rFonts w:hint="eastAsia" w:ascii="黑体" w:hAnsi="黑体" w:eastAsia="黑体" w:cs="黑体"/>
          <w:sz w:val="32"/>
          <w:szCs w:val="32"/>
        </w:rPr>
        <w:t>人民生活</w:t>
      </w:r>
      <w:r>
        <w:rPr>
          <w:rFonts w:hint="eastAsia" w:ascii="黑体" w:hAnsi="黑体" w:eastAsia="黑体" w:cs="黑体"/>
          <w:sz w:val="32"/>
          <w:szCs w:val="32"/>
          <w:lang w:eastAsia="zh-CN"/>
        </w:rPr>
        <w:t>和社会保障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bCs/>
          <w:color w:val="auto"/>
          <w:sz w:val="32"/>
          <w:szCs w:val="32"/>
          <w:lang w:eastAsia="zh-CN"/>
        </w:rPr>
      </w:pPr>
      <w:r>
        <w:rPr>
          <w:rFonts w:hint="eastAsia" w:ascii="仿宋_GB2312" w:hAnsi="仿宋_GB2312" w:eastAsia="仿宋_GB2312" w:cs="仿宋_GB2312"/>
          <w:color w:val="auto"/>
          <w:sz w:val="32"/>
          <w:szCs w:val="32"/>
          <w:lang w:eastAsia="zh-CN"/>
        </w:rPr>
        <w:t>年末常住人口</w:t>
      </w:r>
      <w:r>
        <w:rPr>
          <w:rFonts w:hint="eastAsia" w:ascii="仿宋_GB2312" w:hAnsi="仿宋_GB2312" w:eastAsia="仿宋_GB2312" w:cs="仿宋_GB2312"/>
          <w:color w:val="auto"/>
          <w:sz w:val="32"/>
          <w:szCs w:val="32"/>
          <w:lang w:val="en-US" w:eastAsia="zh-CN"/>
        </w:rPr>
        <w:t>58.54</w:t>
      </w:r>
      <w:r>
        <w:rPr>
          <w:rFonts w:hint="eastAsia" w:ascii="仿宋_GB2312" w:hAnsi="仿宋_GB2312" w:eastAsia="仿宋_GB2312" w:cs="仿宋_GB2312"/>
          <w:color w:val="auto"/>
          <w:sz w:val="32"/>
          <w:szCs w:val="32"/>
          <w:lang w:eastAsia="zh-CN"/>
        </w:rPr>
        <w:t>万人</w:t>
      </w:r>
      <w:r>
        <w:rPr>
          <w:rFonts w:hint="eastAsia" w:ascii="仿宋_GB2312" w:hAnsi="仿宋_GB2312" w:eastAsia="仿宋_GB2312"/>
          <w:bCs/>
          <w:color w:val="auto"/>
          <w:sz w:val="32"/>
          <w:szCs w:val="32"/>
        </w:rPr>
        <w:t>。</w:t>
      </w:r>
      <w:r>
        <w:rPr>
          <w:rFonts w:hint="eastAsia" w:ascii="仿宋_GB2312" w:hAnsi="仿宋_GB2312" w:eastAsia="仿宋_GB2312" w:cs="仿宋_GB2312"/>
          <w:color w:val="auto"/>
          <w:sz w:val="32"/>
          <w:szCs w:val="32"/>
        </w:rPr>
        <w:t>年末全县户籍人口为</w:t>
      </w:r>
      <w:r>
        <w:rPr>
          <w:rFonts w:hint="eastAsia" w:ascii="仿宋_GB2312" w:hAnsi="仿宋_GB2312" w:eastAsia="仿宋_GB2312" w:cs="仿宋_GB2312"/>
          <w:color w:val="auto"/>
          <w:sz w:val="32"/>
          <w:szCs w:val="32"/>
          <w:lang w:val="en-US" w:eastAsia="zh-CN"/>
        </w:rPr>
        <w:t>78.76</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eastAsia="zh-CN"/>
        </w:rPr>
        <w:t>，比上年末增加</w:t>
      </w:r>
      <w:r>
        <w:rPr>
          <w:rFonts w:hint="eastAsia" w:ascii="仿宋_GB2312" w:hAnsi="仿宋_GB2312" w:eastAsia="仿宋_GB2312" w:cs="仿宋_GB2312"/>
          <w:color w:val="auto"/>
          <w:sz w:val="32"/>
          <w:szCs w:val="32"/>
          <w:lang w:val="en-US" w:eastAsia="zh-CN"/>
        </w:rPr>
        <w:t>0.72万人，其中，农村人口为48.62万人，比上年末减少1.23万人，城镇人口为30.14万人，比上年末增加1.95万人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bCs/>
          <w:color w:val="000000" w:themeColor="text1"/>
          <w:sz w:val="32"/>
          <w:szCs w:val="32"/>
          <w14:textFill>
            <w14:solidFill>
              <w14:schemeClr w14:val="tx1"/>
            </w14:solidFill>
          </w14:textFill>
        </w:rPr>
        <w:t>人口出生率</w:t>
      </w:r>
      <w:r>
        <w:rPr>
          <w:rFonts w:hint="eastAsia" w:ascii="仿宋_GB2312" w:eastAsia="仿宋_GB2312"/>
          <w:bCs/>
          <w:color w:val="000000" w:themeColor="text1"/>
          <w:sz w:val="32"/>
          <w:szCs w:val="32"/>
          <w:lang w:val="en-US" w:eastAsia="zh-CN"/>
          <w14:textFill>
            <w14:solidFill>
              <w14:schemeClr w14:val="tx1"/>
            </w14:solidFill>
          </w14:textFill>
        </w:rPr>
        <w:t>9.45</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hAnsi="仿宋_GB2312" w:eastAsia="仿宋_GB2312"/>
          <w:bCs/>
          <w:color w:val="000000" w:themeColor="text1"/>
          <w:sz w:val="32"/>
          <w:szCs w:val="32"/>
          <w14:textFill>
            <w14:solidFill>
              <w14:schemeClr w14:val="tx1"/>
            </w14:solidFill>
          </w14:textFill>
        </w:rPr>
        <w:t>，死亡率</w:t>
      </w:r>
      <w:r>
        <w:rPr>
          <w:rFonts w:hint="eastAsia" w:ascii="仿宋_GB2312" w:eastAsia="仿宋_GB2312"/>
          <w:bCs/>
          <w:color w:val="auto"/>
          <w:sz w:val="32"/>
          <w:szCs w:val="32"/>
          <w:lang w:val="en-US" w:eastAsia="zh-CN"/>
        </w:rPr>
        <w:t>4.18</w:t>
      </w:r>
      <w:r>
        <w:rPr>
          <w:rFonts w:hint="eastAsia" w:ascii="仿宋_GB2312" w:eastAsia="仿宋_GB2312"/>
          <w:bCs/>
          <w:color w:val="auto"/>
          <w:sz w:val="32"/>
          <w:szCs w:val="32"/>
        </w:rPr>
        <w:t>‰</w:t>
      </w:r>
      <w:r>
        <w:rPr>
          <w:rFonts w:hint="eastAsia" w:ascii="仿宋_GB2312" w:hAnsi="仿宋_GB2312" w:eastAsia="仿宋_GB2312"/>
          <w:bCs/>
          <w:color w:val="auto"/>
          <w:sz w:val="32"/>
          <w:szCs w:val="32"/>
        </w:rPr>
        <w:t>，自然增长率</w:t>
      </w:r>
      <w:r>
        <w:rPr>
          <w:rFonts w:hint="eastAsia" w:ascii="仿宋_GB2312" w:eastAsia="仿宋_GB2312"/>
          <w:bCs/>
          <w:color w:val="auto"/>
          <w:sz w:val="32"/>
          <w:szCs w:val="32"/>
          <w:lang w:val="en-US" w:eastAsia="zh-CN"/>
        </w:rPr>
        <w:t>5.27</w:t>
      </w:r>
      <w:r>
        <w:rPr>
          <w:rFonts w:hint="eastAsia" w:ascii="仿宋_GB2312" w:eastAsia="仿宋_GB2312"/>
          <w:bCs/>
          <w:color w:val="auto"/>
          <w:sz w:val="32"/>
          <w:szCs w:val="32"/>
        </w:rPr>
        <w:t>‰</w:t>
      </w:r>
      <w:r>
        <w:rPr>
          <w:rFonts w:hint="eastAsia" w:ascii="仿宋_GB2312" w:hAnsi="仿宋_GB2312" w:eastAsia="仿宋_GB2312"/>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城镇</w:t>
      </w:r>
      <w:r>
        <w:rPr>
          <w:rFonts w:hint="eastAsia" w:ascii="仿宋_GB2312" w:hAnsi="仿宋_GB2312" w:eastAsia="仿宋_GB2312" w:cs="仿宋_GB2312"/>
          <w:color w:val="auto"/>
          <w:sz w:val="32"/>
          <w:szCs w:val="32"/>
          <w:lang w:eastAsia="zh-CN"/>
        </w:rPr>
        <w:t>常住居民人均可支配收入为</w:t>
      </w:r>
      <w:r>
        <w:rPr>
          <w:rFonts w:hint="eastAsia" w:ascii="仿宋_GB2312" w:hAnsi="仿宋_GB2312" w:eastAsia="仿宋_GB2312" w:cs="仿宋_GB2312"/>
          <w:color w:val="auto"/>
          <w:sz w:val="32"/>
          <w:szCs w:val="32"/>
          <w:lang w:val="en-US" w:eastAsia="zh-CN"/>
        </w:rPr>
        <w:t>34687元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同比</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%；农村常住居民人均可支配收入达到</w:t>
      </w:r>
      <w:r>
        <w:rPr>
          <w:rFonts w:hint="eastAsia" w:ascii="仿宋_GB2312" w:hAnsi="仿宋_GB2312" w:eastAsia="仿宋_GB2312" w:cs="仿宋_GB2312"/>
          <w:color w:val="auto"/>
          <w:sz w:val="32"/>
          <w:szCs w:val="32"/>
          <w:lang w:val="en-US" w:eastAsia="zh-CN"/>
        </w:rPr>
        <w:t>12683</w:t>
      </w:r>
      <w:r>
        <w:rPr>
          <w:rFonts w:hint="eastAsia" w:ascii="仿宋_GB2312" w:hAnsi="仿宋_GB2312" w:eastAsia="仿宋_GB2312" w:cs="仿宋_GB2312"/>
          <w:color w:val="auto"/>
          <w:sz w:val="32"/>
          <w:szCs w:val="32"/>
        </w:rPr>
        <w:t>元，同比增长</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drawing>
          <wp:anchor distT="0" distB="0" distL="114300" distR="114300" simplePos="0" relativeHeight="251664384" behindDoc="0" locked="0" layoutInCell="1" allowOverlap="1">
            <wp:simplePos x="0" y="0"/>
            <wp:positionH relativeFrom="column">
              <wp:posOffset>90170</wp:posOffset>
            </wp:positionH>
            <wp:positionV relativeFrom="paragraph">
              <wp:posOffset>40640</wp:posOffset>
            </wp:positionV>
            <wp:extent cx="5104130" cy="2174240"/>
            <wp:effectExtent l="4445" t="4445" r="15875" b="1206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r>
        <w:drawing>
          <wp:anchor distT="0" distB="0" distL="114300" distR="114300" simplePos="0" relativeHeight="251665408" behindDoc="0" locked="0" layoutInCell="1" allowOverlap="1">
            <wp:simplePos x="0" y="0"/>
            <wp:positionH relativeFrom="column">
              <wp:posOffset>90170</wp:posOffset>
            </wp:positionH>
            <wp:positionV relativeFrom="paragraph">
              <wp:posOffset>236855</wp:posOffset>
            </wp:positionV>
            <wp:extent cx="5113655" cy="2364105"/>
            <wp:effectExtent l="4445" t="4445" r="6350" b="12700"/>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全县养老保险人数达</w:t>
      </w:r>
      <w:r>
        <w:rPr>
          <w:rFonts w:hint="eastAsia" w:ascii="仿宋_GB2312" w:hAnsi="仿宋_GB2312" w:eastAsia="仿宋_GB2312" w:cs="仿宋_GB2312"/>
          <w:color w:val="auto"/>
          <w:sz w:val="32"/>
          <w:szCs w:val="32"/>
          <w:lang w:val="en-US" w:eastAsia="zh-CN"/>
        </w:rPr>
        <w:t>39.87万</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，同比增加</w:t>
      </w:r>
      <w:r>
        <w:rPr>
          <w:rFonts w:hint="eastAsia" w:ascii="仿宋_GB2312" w:hAnsi="仿宋_GB2312" w:eastAsia="仿宋_GB2312" w:cs="仿宋_GB2312"/>
          <w:color w:val="auto"/>
          <w:sz w:val="32"/>
          <w:szCs w:val="32"/>
          <w:lang w:val="en-US" w:eastAsia="zh-CN"/>
        </w:rPr>
        <w:t>0.46万人；</w:t>
      </w:r>
      <w:r>
        <w:rPr>
          <w:rFonts w:hint="eastAsia" w:ascii="仿宋_GB2312" w:hAnsi="仿宋_GB2312" w:eastAsia="仿宋_GB2312" w:cs="仿宋_GB2312"/>
          <w:color w:val="auto"/>
          <w:sz w:val="32"/>
          <w:szCs w:val="32"/>
        </w:rPr>
        <w:t>失业保险</w:t>
      </w:r>
      <w:r>
        <w:rPr>
          <w:rFonts w:hint="eastAsia" w:ascii="仿宋_GB2312" w:hAnsi="仿宋_GB2312" w:eastAsia="仿宋_GB2312" w:cs="仿宋_GB2312"/>
          <w:color w:val="auto"/>
          <w:sz w:val="32"/>
          <w:szCs w:val="32"/>
          <w:lang w:eastAsia="zh-CN"/>
        </w:rPr>
        <w:t>人数达</w:t>
      </w:r>
      <w:r>
        <w:rPr>
          <w:rFonts w:hint="eastAsia" w:ascii="仿宋_GB2312" w:hAnsi="仿宋_GB2312" w:eastAsia="仿宋_GB2312" w:cs="仿宋_GB2312"/>
          <w:color w:val="auto"/>
          <w:sz w:val="32"/>
          <w:szCs w:val="32"/>
          <w:lang w:val="en-US" w:eastAsia="zh-CN"/>
        </w:rPr>
        <w:t>3.53万</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同比增加</w:t>
      </w:r>
      <w:r>
        <w:rPr>
          <w:rFonts w:hint="eastAsia" w:ascii="仿宋_GB2312" w:hAnsi="仿宋_GB2312" w:eastAsia="仿宋_GB2312" w:cs="仿宋_GB2312"/>
          <w:color w:val="auto"/>
          <w:sz w:val="32"/>
          <w:szCs w:val="32"/>
          <w:lang w:val="en-US" w:eastAsia="zh-CN"/>
        </w:rPr>
        <w:t>0.5万人；</w:t>
      </w:r>
      <w:r>
        <w:rPr>
          <w:rFonts w:hint="eastAsia" w:ascii="仿宋_GB2312" w:hAnsi="仿宋_GB2312" w:eastAsia="仿宋_GB2312" w:cs="仿宋_GB2312"/>
          <w:color w:val="auto"/>
          <w:sz w:val="32"/>
          <w:szCs w:val="32"/>
        </w:rPr>
        <w:t>职工医疗保险</w:t>
      </w:r>
      <w:r>
        <w:rPr>
          <w:rFonts w:hint="eastAsia" w:ascii="仿宋_GB2312" w:hAnsi="仿宋_GB2312" w:eastAsia="仿宋_GB2312" w:cs="仿宋_GB2312"/>
          <w:color w:val="auto"/>
          <w:sz w:val="32"/>
          <w:szCs w:val="32"/>
          <w:lang w:eastAsia="zh-CN"/>
        </w:rPr>
        <w:t>人数达</w:t>
      </w:r>
      <w:r>
        <w:rPr>
          <w:rFonts w:hint="eastAsia" w:ascii="仿宋_GB2312" w:hAnsi="仿宋_GB2312" w:eastAsia="仿宋_GB2312" w:cs="仿宋_GB2312"/>
          <w:color w:val="auto"/>
          <w:sz w:val="32"/>
          <w:szCs w:val="32"/>
          <w:lang w:val="en-US" w:eastAsia="zh-CN"/>
        </w:rPr>
        <w:t>5.37万</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同比增加</w:t>
      </w:r>
      <w:r>
        <w:rPr>
          <w:rFonts w:hint="eastAsia" w:ascii="仿宋_GB2312" w:hAnsi="仿宋_GB2312" w:eastAsia="仿宋_GB2312" w:cs="仿宋_GB2312"/>
          <w:color w:val="auto"/>
          <w:sz w:val="32"/>
          <w:szCs w:val="32"/>
          <w:lang w:val="en-US" w:eastAsia="zh-CN"/>
        </w:rPr>
        <w:t>0.45万人；城乡</w:t>
      </w:r>
      <w:r>
        <w:rPr>
          <w:rFonts w:hint="eastAsia" w:ascii="仿宋_GB2312" w:hAnsi="仿宋_GB2312" w:eastAsia="仿宋_GB2312" w:cs="仿宋_GB2312"/>
          <w:color w:val="auto"/>
          <w:sz w:val="32"/>
          <w:szCs w:val="32"/>
        </w:rPr>
        <w:t>居民医疗保险</w:t>
      </w:r>
      <w:r>
        <w:rPr>
          <w:rFonts w:hint="eastAsia" w:ascii="仿宋_GB2312" w:hAnsi="仿宋_GB2312" w:eastAsia="仿宋_GB2312" w:cs="仿宋_GB2312"/>
          <w:color w:val="auto"/>
          <w:sz w:val="32"/>
          <w:szCs w:val="32"/>
          <w:lang w:eastAsia="zh-CN"/>
        </w:rPr>
        <w:t>人数达</w:t>
      </w:r>
      <w:r>
        <w:rPr>
          <w:rFonts w:hint="eastAsia" w:ascii="仿宋_GB2312" w:hAnsi="仿宋_GB2312" w:eastAsia="仿宋_GB2312" w:cs="仿宋_GB2312"/>
          <w:color w:val="auto"/>
          <w:sz w:val="32"/>
          <w:szCs w:val="32"/>
          <w:lang w:val="en-US" w:eastAsia="zh-CN"/>
        </w:rPr>
        <w:t>68.35万</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同比增加</w:t>
      </w:r>
      <w:r>
        <w:rPr>
          <w:rFonts w:hint="eastAsia" w:ascii="仿宋_GB2312" w:hAnsi="仿宋_GB2312" w:eastAsia="仿宋_GB2312" w:cs="仿宋_GB2312"/>
          <w:color w:val="auto"/>
          <w:sz w:val="32"/>
          <w:szCs w:val="32"/>
          <w:lang w:val="en-US" w:eastAsia="zh-CN"/>
        </w:rPr>
        <w:t>0.35万人；</w:t>
      </w:r>
      <w:r>
        <w:rPr>
          <w:rFonts w:hint="eastAsia" w:ascii="仿宋_GB2312" w:hAnsi="仿宋_GB2312" w:eastAsia="仿宋_GB2312" w:cs="仿宋_GB2312"/>
          <w:color w:val="auto"/>
          <w:sz w:val="32"/>
          <w:szCs w:val="32"/>
        </w:rPr>
        <w:t>工伤保险</w:t>
      </w:r>
      <w:r>
        <w:rPr>
          <w:rFonts w:hint="eastAsia" w:ascii="仿宋_GB2312" w:hAnsi="仿宋_GB2312" w:eastAsia="仿宋_GB2312" w:cs="仿宋_GB2312"/>
          <w:color w:val="auto"/>
          <w:sz w:val="32"/>
          <w:szCs w:val="32"/>
          <w:lang w:eastAsia="zh-CN"/>
        </w:rPr>
        <w:t>人数达</w:t>
      </w:r>
      <w:r>
        <w:rPr>
          <w:rFonts w:hint="eastAsia" w:ascii="仿宋_GB2312" w:hAnsi="仿宋_GB2312" w:eastAsia="仿宋_GB2312" w:cs="仿宋_GB2312"/>
          <w:color w:val="auto"/>
          <w:sz w:val="32"/>
          <w:szCs w:val="32"/>
          <w:lang w:val="en-US" w:eastAsia="zh-CN"/>
        </w:rPr>
        <w:t>5.88万</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同比增加</w:t>
      </w:r>
      <w:r>
        <w:rPr>
          <w:rFonts w:hint="eastAsia" w:ascii="仿宋_GB2312" w:hAnsi="仿宋_GB2312" w:eastAsia="仿宋_GB2312" w:cs="仿宋_GB2312"/>
          <w:color w:val="auto"/>
          <w:sz w:val="32"/>
          <w:szCs w:val="32"/>
          <w:lang w:val="en-US" w:eastAsia="zh-CN"/>
        </w:rPr>
        <w:t>0.32万人；</w:t>
      </w:r>
      <w:r>
        <w:rPr>
          <w:rFonts w:hint="eastAsia" w:ascii="仿宋_GB2312" w:hAnsi="仿宋_GB2312" w:eastAsia="仿宋_GB2312" w:cs="仿宋_GB2312"/>
          <w:color w:val="auto"/>
          <w:sz w:val="32"/>
          <w:szCs w:val="32"/>
        </w:rPr>
        <w:t>生育保险</w:t>
      </w:r>
      <w:r>
        <w:rPr>
          <w:rFonts w:hint="eastAsia" w:ascii="仿宋_GB2312" w:hAnsi="仿宋_GB2312" w:eastAsia="仿宋_GB2312" w:cs="仿宋_GB2312"/>
          <w:color w:val="auto"/>
          <w:sz w:val="32"/>
          <w:szCs w:val="32"/>
          <w:lang w:eastAsia="zh-CN"/>
        </w:rPr>
        <w:t>人数达</w:t>
      </w:r>
      <w:r>
        <w:rPr>
          <w:rFonts w:hint="eastAsia" w:ascii="仿宋_GB2312" w:hAnsi="仿宋_GB2312" w:eastAsia="仿宋_GB2312" w:cs="仿宋_GB2312"/>
          <w:color w:val="auto"/>
          <w:sz w:val="32"/>
          <w:szCs w:val="32"/>
          <w:lang w:val="en-US" w:eastAsia="zh-CN"/>
        </w:rPr>
        <w:t>4.43万</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，同比增加</w:t>
      </w:r>
      <w:r>
        <w:rPr>
          <w:rFonts w:hint="eastAsia" w:ascii="仿宋_GB2312" w:hAnsi="仿宋_GB2312" w:eastAsia="仿宋_GB2312" w:cs="仿宋_GB2312"/>
          <w:color w:val="auto"/>
          <w:sz w:val="32"/>
          <w:szCs w:val="32"/>
          <w:lang w:val="en-US" w:eastAsia="zh-CN"/>
        </w:rPr>
        <w:t>0.21万人</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全县城镇新增就业</w:t>
      </w:r>
      <w:r>
        <w:rPr>
          <w:rFonts w:hint="eastAsia" w:ascii="仿宋_GB2312" w:hAnsi="仿宋_GB2312" w:eastAsia="仿宋_GB2312" w:cs="仿宋_GB2312"/>
          <w:color w:val="auto"/>
          <w:sz w:val="32"/>
          <w:szCs w:val="32"/>
          <w:lang w:val="en-US" w:eastAsia="zh-CN"/>
        </w:rPr>
        <w:t>8384</w:t>
      </w:r>
      <w:r>
        <w:rPr>
          <w:rFonts w:hint="eastAsia" w:ascii="仿宋_GB2312" w:hAnsi="仿宋_GB2312" w:eastAsia="仿宋_GB2312" w:cs="仿宋_GB2312"/>
          <w:color w:val="auto"/>
          <w:sz w:val="32"/>
          <w:szCs w:val="32"/>
        </w:rPr>
        <w:t>人，比上年</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%，其中失业人员再就业</w:t>
      </w:r>
      <w:r>
        <w:rPr>
          <w:rFonts w:hint="eastAsia" w:ascii="仿宋_GB2312" w:hAnsi="仿宋_GB2312" w:eastAsia="仿宋_GB2312" w:cs="仿宋_GB2312"/>
          <w:color w:val="auto"/>
          <w:sz w:val="32"/>
          <w:szCs w:val="32"/>
          <w:lang w:val="en-US" w:eastAsia="zh-CN"/>
        </w:rPr>
        <w:t>1221</w:t>
      </w:r>
      <w:r>
        <w:rPr>
          <w:rFonts w:hint="eastAsia" w:ascii="仿宋_GB2312" w:hAnsi="仿宋_GB2312" w:eastAsia="仿宋_GB2312" w:cs="仿宋_GB2312"/>
          <w:color w:val="auto"/>
          <w:sz w:val="32"/>
          <w:szCs w:val="32"/>
        </w:rPr>
        <w:t>人。就业困难人员实现就业</w:t>
      </w:r>
      <w:r>
        <w:rPr>
          <w:rFonts w:hint="eastAsia" w:ascii="仿宋_GB2312" w:hAnsi="仿宋_GB2312" w:eastAsia="仿宋_GB2312" w:cs="仿宋_GB2312"/>
          <w:color w:val="auto"/>
          <w:sz w:val="32"/>
          <w:szCs w:val="32"/>
          <w:lang w:val="en-US" w:eastAsia="zh-CN"/>
        </w:rPr>
        <w:t>728</w:t>
      </w:r>
      <w:r>
        <w:rPr>
          <w:rFonts w:hint="eastAsia" w:ascii="仿宋_GB2312" w:hAnsi="仿宋_GB2312" w:eastAsia="仿宋_GB2312" w:cs="仿宋_GB2312"/>
          <w:color w:val="auto"/>
          <w:sz w:val="32"/>
          <w:szCs w:val="32"/>
        </w:rPr>
        <w:t>人,转移农村富余劳动力</w:t>
      </w:r>
      <w:r>
        <w:rPr>
          <w:rFonts w:hint="eastAsia" w:ascii="仿宋_GB2312" w:hAnsi="仿宋_GB2312" w:eastAsia="仿宋_GB2312" w:cs="仿宋_GB2312"/>
          <w:color w:val="auto"/>
          <w:sz w:val="32"/>
          <w:szCs w:val="32"/>
          <w:lang w:val="en-US" w:eastAsia="zh-CN"/>
        </w:rPr>
        <w:t>12179</w:t>
      </w:r>
      <w:r>
        <w:rPr>
          <w:rFonts w:hint="eastAsia" w:ascii="仿宋_GB2312" w:hAnsi="仿宋_GB2312" w:eastAsia="仿宋_GB2312" w:cs="仿宋_GB2312"/>
          <w:color w:val="auto"/>
          <w:sz w:val="32"/>
          <w:szCs w:val="32"/>
        </w:rPr>
        <w:t>人。城镇登记失业率</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3.13%</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十一、气候、生态和</w:t>
      </w:r>
      <w:r>
        <w:rPr>
          <w:rFonts w:hint="eastAsia" w:ascii="黑体" w:hAnsi="黑体" w:eastAsia="黑体" w:cs="黑体"/>
          <w:color w:val="auto"/>
          <w:sz w:val="32"/>
          <w:szCs w:val="32"/>
        </w:rPr>
        <w:t>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全年平均气温为14.2℃；全年相对湿度为86%；全年总降水量达1504.6㎜；日照时数为919小时。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年末全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自然保护区</w:t>
      </w:r>
      <w:r>
        <w:rPr>
          <w:rFonts w:hint="eastAsia" w:ascii="仿宋_GB2312" w:hAnsi="仿宋_GB2312" w:eastAsia="仿宋_GB2312" w:cs="仿宋_GB2312"/>
          <w:color w:val="auto"/>
          <w:sz w:val="32"/>
          <w:szCs w:val="32"/>
          <w:lang w:val="en-US" w:eastAsia="zh-CN"/>
        </w:rPr>
        <w:t>2个，自然保护区面积5.19万公顷。全年全县完成营造林任务10万亩，年末</w:t>
      </w:r>
      <w:r>
        <w:rPr>
          <w:rFonts w:hint="default"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森林覆盖率</w:t>
      </w:r>
      <w:r>
        <w:rPr>
          <w:rFonts w:hint="eastAsia" w:ascii="仿宋_GB2312" w:hAnsi="仿宋_GB2312" w:eastAsia="仿宋_GB2312" w:cs="仿宋_GB2312"/>
          <w:color w:val="auto"/>
          <w:sz w:val="32"/>
          <w:szCs w:val="32"/>
          <w:lang w:val="en-US" w:eastAsia="zh-CN"/>
        </w:rPr>
        <w:t>57.97</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全县集中式饮用水源地水质达标率达100%；城乡生活垃圾无害化处理率达93.25%；城市（县城）环境空气质量达标率达98.6%。</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注释：</w:t>
      </w: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1.本公报中数据均为初步统计数。</w:t>
      </w: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2.地区生产总值、规模以上工业增加值及其分类项目增长速度按可比价计算，为实际增长速度；其他指标除特殊说明外，按现价计算，为名义增长速度。</w:t>
      </w: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3.地区生产总值是指一个地区内所有常住单位在一定时期内生产的全部最终产品和服务的价值总和。</w:t>
      </w:r>
    </w:p>
    <w:p>
      <w:pPr>
        <w:pStyle w:val="5"/>
        <w:keepNext w:val="0"/>
        <w:keepLines w:val="0"/>
        <w:pageBreakBefore w:val="0"/>
        <w:widowControl w:val="0"/>
        <w:kinsoku/>
        <w:wordWrap/>
        <w:overflowPunct/>
        <w:topLinePunct w:val="0"/>
        <w:autoSpaceDE/>
        <w:autoSpaceDN/>
        <w:bidi w:val="0"/>
        <w:adjustRightInd/>
        <w:snapToGrid/>
        <w:spacing w:before="0" w:line="54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.规模以上工业的统计范围为年主营业务收入2000万元及以上的工业企业。</w:t>
      </w: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固定资产投资（不含农户)是指以货币形式表现的在一定时期内完成的建造和购置固定资产的工作量以及与此有关的费用的总称。固定资产投资（不含农户)的统计范围为计划总投资500万元以上的固定资产项目投资及所有房地产开发项目投资。</w:t>
      </w: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480" w:firstLineChars="2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.社会消费品零售统计中限额以上单位是指年主营业务收入2000万元及以上的批发业企业（单位）、500万元及以上的零售业企业（单位）、200万元及以上的住宿和餐饮业企业（单位）。</w:t>
      </w: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部分数据因四舍五入的原因，存在总计与分项合计不等的情况。</w:t>
      </w:r>
    </w:p>
    <w:p>
      <w:pPr>
        <w:pStyle w:val="5"/>
        <w:keepNext w:val="0"/>
        <w:keepLines w:val="0"/>
        <w:pageBreakBefore w:val="0"/>
        <w:widowControl w:val="0"/>
        <w:kinsoku/>
        <w:wordWrap/>
        <w:overflowPunct/>
        <w:topLinePunct w:val="0"/>
        <w:autoSpaceDE/>
        <w:autoSpaceDN/>
        <w:bidi w:val="0"/>
        <w:adjustRightInd/>
        <w:snapToGrid/>
        <w:spacing w:before="0" w:line="500" w:lineRule="exact"/>
        <w:jc w:val="both"/>
        <w:textAlignment w:val="auto"/>
        <w:rPr>
          <w:rFonts w:hint="eastAsia" w:ascii="仿宋_GB2312" w:hAnsi="仿宋_GB2312" w:eastAsia="仿宋_GB2312" w:cs="仿宋_GB2312"/>
          <w:color w:val="auto"/>
          <w:sz w:val="32"/>
          <w:szCs w:val="32"/>
        </w:rPr>
      </w:pPr>
    </w:p>
    <w:p>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Calibri Light">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86069"/>
    <w:rsid w:val="00522F56"/>
    <w:rsid w:val="01186CDB"/>
    <w:rsid w:val="01C67FE5"/>
    <w:rsid w:val="01D37A9D"/>
    <w:rsid w:val="01ED3261"/>
    <w:rsid w:val="0289556E"/>
    <w:rsid w:val="0346086F"/>
    <w:rsid w:val="03946280"/>
    <w:rsid w:val="039D58E7"/>
    <w:rsid w:val="03AC0FA0"/>
    <w:rsid w:val="041315E4"/>
    <w:rsid w:val="051D710D"/>
    <w:rsid w:val="06196072"/>
    <w:rsid w:val="06CF196C"/>
    <w:rsid w:val="06F24BB7"/>
    <w:rsid w:val="06FA6A23"/>
    <w:rsid w:val="075E70D6"/>
    <w:rsid w:val="080B2C3D"/>
    <w:rsid w:val="08124C5F"/>
    <w:rsid w:val="095D5263"/>
    <w:rsid w:val="09CF3C74"/>
    <w:rsid w:val="09E04B05"/>
    <w:rsid w:val="09F661DD"/>
    <w:rsid w:val="0A444D23"/>
    <w:rsid w:val="0A606D8B"/>
    <w:rsid w:val="0A7F7AF2"/>
    <w:rsid w:val="0A87376B"/>
    <w:rsid w:val="0A8C6DF3"/>
    <w:rsid w:val="0A9D64A0"/>
    <w:rsid w:val="0AB0753B"/>
    <w:rsid w:val="0B800A78"/>
    <w:rsid w:val="0BA96DA3"/>
    <w:rsid w:val="0BE51109"/>
    <w:rsid w:val="0C1E5227"/>
    <w:rsid w:val="0C723BFF"/>
    <w:rsid w:val="0CF92DE0"/>
    <w:rsid w:val="0D80174D"/>
    <w:rsid w:val="0E8521FC"/>
    <w:rsid w:val="101C6EC1"/>
    <w:rsid w:val="10920E37"/>
    <w:rsid w:val="10AB29C8"/>
    <w:rsid w:val="11AC3CF3"/>
    <w:rsid w:val="12560788"/>
    <w:rsid w:val="125F3978"/>
    <w:rsid w:val="13B12C59"/>
    <w:rsid w:val="13F22D32"/>
    <w:rsid w:val="15BB4646"/>
    <w:rsid w:val="15F80BD3"/>
    <w:rsid w:val="164D02DB"/>
    <w:rsid w:val="164E0306"/>
    <w:rsid w:val="16650FA5"/>
    <w:rsid w:val="170478A2"/>
    <w:rsid w:val="18662FE3"/>
    <w:rsid w:val="18AA3C10"/>
    <w:rsid w:val="19565568"/>
    <w:rsid w:val="198408A4"/>
    <w:rsid w:val="19956E25"/>
    <w:rsid w:val="19BC580F"/>
    <w:rsid w:val="19EF025A"/>
    <w:rsid w:val="1A1D61FF"/>
    <w:rsid w:val="1A215A7A"/>
    <w:rsid w:val="1A6A2D5A"/>
    <w:rsid w:val="1B0A7D13"/>
    <w:rsid w:val="1B273C8C"/>
    <w:rsid w:val="1BB05E31"/>
    <w:rsid w:val="1BDB3A94"/>
    <w:rsid w:val="1C96351D"/>
    <w:rsid w:val="1CFD5944"/>
    <w:rsid w:val="1D024396"/>
    <w:rsid w:val="1EB02EE0"/>
    <w:rsid w:val="1F687278"/>
    <w:rsid w:val="1FE70076"/>
    <w:rsid w:val="20C32D51"/>
    <w:rsid w:val="210419E3"/>
    <w:rsid w:val="22445BC9"/>
    <w:rsid w:val="227D5F9C"/>
    <w:rsid w:val="229F08EA"/>
    <w:rsid w:val="230744C0"/>
    <w:rsid w:val="23C66183"/>
    <w:rsid w:val="23E81F6B"/>
    <w:rsid w:val="2403647D"/>
    <w:rsid w:val="24C43DC4"/>
    <w:rsid w:val="253C3986"/>
    <w:rsid w:val="255563CA"/>
    <w:rsid w:val="258C4B64"/>
    <w:rsid w:val="26E36C3D"/>
    <w:rsid w:val="275337CD"/>
    <w:rsid w:val="282B52A9"/>
    <w:rsid w:val="28C06A81"/>
    <w:rsid w:val="28E44AE9"/>
    <w:rsid w:val="29614CD4"/>
    <w:rsid w:val="299468BF"/>
    <w:rsid w:val="29CA5115"/>
    <w:rsid w:val="29D30354"/>
    <w:rsid w:val="2A8C7CC4"/>
    <w:rsid w:val="2ACC6855"/>
    <w:rsid w:val="2AE62BED"/>
    <w:rsid w:val="2BA848CE"/>
    <w:rsid w:val="2C7E25EE"/>
    <w:rsid w:val="2CFD1F46"/>
    <w:rsid w:val="2EFC51C0"/>
    <w:rsid w:val="2F09646E"/>
    <w:rsid w:val="2F55630A"/>
    <w:rsid w:val="306D3D4B"/>
    <w:rsid w:val="309D24F6"/>
    <w:rsid w:val="310226F5"/>
    <w:rsid w:val="315056C7"/>
    <w:rsid w:val="31A4199A"/>
    <w:rsid w:val="328D2973"/>
    <w:rsid w:val="329A7ADB"/>
    <w:rsid w:val="33156AF8"/>
    <w:rsid w:val="33411EA0"/>
    <w:rsid w:val="338D34EE"/>
    <w:rsid w:val="33AA4413"/>
    <w:rsid w:val="33B415A8"/>
    <w:rsid w:val="340A19B9"/>
    <w:rsid w:val="35013D09"/>
    <w:rsid w:val="35313CFB"/>
    <w:rsid w:val="35BA6F3C"/>
    <w:rsid w:val="35C64CD8"/>
    <w:rsid w:val="35E17B52"/>
    <w:rsid w:val="38B12FF5"/>
    <w:rsid w:val="39752831"/>
    <w:rsid w:val="39B46A91"/>
    <w:rsid w:val="3A9350CE"/>
    <w:rsid w:val="3AEC6321"/>
    <w:rsid w:val="3C9F13DE"/>
    <w:rsid w:val="3CCD08E4"/>
    <w:rsid w:val="3CF77BAC"/>
    <w:rsid w:val="3D7A58C5"/>
    <w:rsid w:val="3DAE4D83"/>
    <w:rsid w:val="3DBB6017"/>
    <w:rsid w:val="3EC51F67"/>
    <w:rsid w:val="3F235FD6"/>
    <w:rsid w:val="3F524E5A"/>
    <w:rsid w:val="3FEF5486"/>
    <w:rsid w:val="420633FD"/>
    <w:rsid w:val="425711EF"/>
    <w:rsid w:val="429D6726"/>
    <w:rsid w:val="430C276B"/>
    <w:rsid w:val="43144F62"/>
    <w:rsid w:val="432A3CC3"/>
    <w:rsid w:val="4395253C"/>
    <w:rsid w:val="440D43CE"/>
    <w:rsid w:val="44C006CE"/>
    <w:rsid w:val="44C80E66"/>
    <w:rsid w:val="44EC7BA5"/>
    <w:rsid w:val="451C296E"/>
    <w:rsid w:val="453D0293"/>
    <w:rsid w:val="46532C00"/>
    <w:rsid w:val="465370CC"/>
    <w:rsid w:val="46634601"/>
    <w:rsid w:val="469B5EDC"/>
    <w:rsid w:val="46D2272D"/>
    <w:rsid w:val="475961E7"/>
    <w:rsid w:val="47687B5D"/>
    <w:rsid w:val="47977F3A"/>
    <w:rsid w:val="48436C16"/>
    <w:rsid w:val="485807FF"/>
    <w:rsid w:val="489373A3"/>
    <w:rsid w:val="49D11A8A"/>
    <w:rsid w:val="4B205FB6"/>
    <w:rsid w:val="4B7817F3"/>
    <w:rsid w:val="4CB1485A"/>
    <w:rsid w:val="4CB52420"/>
    <w:rsid w:val="4D286B44"/>
    <w:rsid w:val="4D292032"/>
    <w:rsid w:val="4D41421E"/>
    <w:rsid w:val="4D8D2197"/>
    <w:rsid w:val="4E06014F"/>
    <w:rsid w:val="4ED9254A"/>
    <w:rsid w:val="4F7C4ABB"/>
    <w:rsid w:val="4F9C4C1B"/>
    <w:rsid w:val="4FB52933"/>
    <w:rsid w:val="50467E50"/>
    <w:rsid w:val="506E1F9A"/>
    <w:rsid w:val="50C64DF7"/>
    <w:rsid w:val="50F70D7F"/>
    <w:rsid w:val="512902E6"/>
    <w:rsid w:val="516A769F"/>
    <w:rsid w:val="516F19D2"/>
    <w:rsid w:val="52271712"/>
    <w:rsid w:val="52630FE2"/>
    <w:rsid w:val="52CE084F"/>
    <w:rsid w:val="532E275F"/>
    <w:rsid w:val="54192AE6"/>
    <w:rsid w:val="54205A4E"/>
    <w:rsid w:val="560C3E3D"/>
    <w:rsid w:val="56190146"/>
    <w:rsid w:val="57263B39"/>
    <w:rsid w:val="58405ACA"/>
    <w:rsid w:val="59EA0DAF"/>
    <w:rsid w:val="5A5F5A19"/>
    <w:rsid w:val="5AF50640"/>
    <w:rsid w:val="5BAF00E9"/>
    <w:rsid w:val="5C3726C9"/>
    <w:rsid w:val="5C5A5E13"/>
    <w:rsid w:val="5C6365DB"/>
    <w:rsid w:val="5CBB0C7F"/>
    <w:rsid w:val="5CC33EA2"/>
    <w:rsid w:val="5CCD3AEE"/>
    <w:rsid w:val="5CD26EF1"/>
    <w:rsid w:val="5D1A4B1D"/>
    <w:rsid w:val="5D6D40F9"/>
    <w:rsid w:val="5D8C6891"/>
    <w:rsid w:val="5DE731FA"/>
    <w:rsid w:val="5E0C0C1C"/>
    <w:rsid w:val="5E4157CB"/>
    <w:rsid w:val="5E5532E6"/>
    <w:rsid w:val="5EAC295A"/>
    <w:rsid w:val="5F8B144A"/>
    <w:rsid w:val="5FDE4B34"/>
    <w:rsid w:val="600A6A89"/>
    <w:rsid w:val="60DD5305"/>
    <w:rsid w:val="614C7032"/>
    <w:rsid w:val="616E61DD"/>
    <w:rsid w:val="61A52637"/>
    <w:rsid w:val="620C5DA5"/>
    <w:rsid w:val="623A5B3A"/>
    <w:rsid w:val="62577E4B"/>
    <w:rsid w:val="62657BF0"/>
    <w:rsid w:val="62A640C0"/>
    <w:rsid w:val="62A84918"/>
    <w:rsid w:val="62E12479"/>
    <w:rsid w:val="63C44DD2"/>
    <w:rsid w:val="64170DD3"/>
    <w:rsid w:val="64B34F54"/>
    <w:rsid w:val="64CC291E"/>
    <w:rsid w:val="64D74599"/>
    <w:rsid w:val="64FF74E9"/>
    <w:rsid w:val="65C91304"/>
    <w:rsid w:val="662842EE"/>
    <w:rsid w:val="668866D8"/>
    <w:rsid w:val="693D4AE4"/>
    <w:rsid w:val="69580135"/>
    <w:rsid w:val="6A7E0D84"/>
    <w:rsid w:val="6B4D1520"/>
    <w:rsid w:val="6C604314"/>
    <w:rsid w:val="6C845143"/>
    <w:rsid w:val="6CBF7827"/>
    <w:rsid w:val="6D1F2904"/>
    <w:rsid w:val="6D6C7C50"/>
    <w:rsid w:val="6E9F0ED9"/>
    <w:rsid w:val="6ED40398"/>
    <w:rsid w:val="6FB01EB2"/>
    <w:rsid w:val="6FE84D61"/>
    <w:rsid w:val="70055427"/>
    <w:rsid w:val="707A3852"/>
    <w:rsid w:val="70BB093B"/>
    <w:rsid w:val="71BC6F59"/>
    <w:rsid w:val="72570284"/>
    <w:rsid w:val="72663900"/>
    <w:rsid w:val="72C40EC7"/>
    <w:rsid w:val="730C4FB2"/>
    <w:rsid w:val="732C35A4"/>
    <w:rsid w:val="739A5A37"/>
    <w:rsid w:val="73E62A95"/>
    <w:rsid w:val="74C33EDD"/>
    <w:rsid w:val="751618F4"/>
    <w:rsid w:val="75A86069"/>
    <w:rsid w:val="761A569C"/>
    <w:rsid w:val="76574ED5"/>
    <w:rsid w:val="76655D41"/>
    <w:rsid w:val="77113B80"/>
    <w:rsid w:val="77BB3AD5"/>
    <w:rsid w:val="78375B13"/>
    <w:rsid w:val="78433155"/>
    <w:rsid w:val="78F27D76"/>
    <w:rsid w:val="79E94457"/>
    <w:rsid w:val="7A44616C"/>
    <w:rsid w:val="7A545985"/>
    <w:rsid w:val="7B444972"/>
    <w:rsid w:val="7BBB4647"/>
    <w:rsid w:val="7BDE0145"/>
    <w:rsid w:val="7C2565FD"/>
    <w:rsid w:val="7CF70E45"/>
    <w:rsid w:val="7DA73BB0"/>
    <w:rsid w:val="7DF6671D"/>
    <w:rsid w:val="7E41063C"/>
    <w:rsid w:val="7E8C11C5"/>
    <w:rsid w:val="7F63661C"/>
    <w:rsid w:val="7FE47D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600" w:lineRule="exact"/>
      <w:jc w:val="center"/>
    </w:pPr>
    <w:rPr>
      <w:rFonts w:ascii="等线" w:hAnsi="等线" w:eastAsia="华文中宋" w:cs="Times New Roman"/>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75"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4E4E4E"/>
      <w:u w:val="none"/>
    </w:rPr>
  </w:style>
  <w:style w:type="character" w:styleId="9">
    <w:name w:val="Hyperlink"/>
    <w:basedOn w:val="7"/>
    <w:qFormat/>
    <w:uiPriority w:val="0"/>
    <w:rPr>
      <w:color w:val="4E4E4E"/>
      <w:u w:val="none"/>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11"/>
    <w:basedOn w:val="7"/>
    <w:qFormat/>
    <w:uiPriority w:val="0"/>
    <w:rPr>
      <w:rFonts w:hint="eastAsia" w:ascii="宋体" w:hAnsi="宋体" w:eastAsia="宋体" w:cs="宋体"/>
      <w:color w:val="00000A"/>
      <w:sz w:val="20"/>
      <w:szCs w:val="20"/>
      <w:u w:val="none"/>
    </w:rPr>
  </w:style>
  <w:style w:type="character" w:customStyle="1" w:styleId="12">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32508;&#21512;\2021&#24180;\&#20844;&#25253;\&#20844;&#25253;&#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32508;&#21512;\2021&#24180;\&#20844;&#25253;\&#20844;&#25253;&#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32508;&#21512;\2021&#24180;\&#20844;&#25253;\&#20844;&#25253;&#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32508;&#21512;\2021&#24180;\&#20844;&#25253;\&#20844;&#25253;&#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32508;&#21512;\2021&#24180;\&#20844;&#25253;\&#20844;&#25253;&#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32508;&#21512;\2021&#24180;\&#20844;&#25253;\&#20844;&#25253;&#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32508;&#21512;\2021&#24180;\&#20844;&#25253;\&#20844;&#25253;&#22270;&#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32508;&#21512;\2021&#24180;\&#20844;&#25253;\&#20844;&#25253;&#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2019-2020</a:t>
            </a:r>
            <a:r>
              <a:rPr altLang="en-US"/>
              <a:t>年全县地区生产总值及其增长速度</a:t>
            </a:r>
            <a:endParaRPr altLang="en-US"/>
          </a:p>
        </c:rich>
      </c:tx>
      <c:layout>
        <c:manualLayout>
          <c:xMode val="edge"/>
          <c:yMode val="edge"/>
          <c:x val="0.167678484701311"/>
          <c:y val="0.0079428117553614"/>
        </c:manualLayout>
      </c:layout>
      <c:overlay val="0"/>
      <c:spPr>
        <a:noFill/>
        <a:ln>
          <a:noFill/>
        </a:ln>
        <a:effectLst/>
      </c:spPr>
    </c:title>
    <c:autoTitleDeleted val="0"/>
    <c:plotArea>
      <c:layout>
        <c:manualLayout>
          <c:layoutTarget val="inner"/>
          <c:xMode val="edge"/>
          <c:yMode val="edge"/>
          <c:x val="0.0736758051636944"/>
          <c:y val="0.150917340698363"/>
          <c:w val="0.868751663561352"/>
          <c:h val="0.663917932531071"/>
        </c:manualLayout>
      </c:layout>
      <c:barChart>
        <c:barDir val="col"/>
        <c:grouping val="clustered"/>
        <c:varyColors val="0"/>
        <c:ser>
          <c:idx val="0"/>
          <c:order val="0"/>
          <c:tx>
            <c:strRef>
              <c:f>[公报图表.xlsx]Sheet1!$A$2</c:f>
              <c:strCache>
                <c:ptCount val="1"/>
                <c:pt idx="0">
                  <c:v>地区生产总值（亿元）</c:v>
                </c:pt>
              </c:strCache>
            </c:strRef>
          </c:tx>
          <c:spPr>
            <a:solidFill>
              <a:schemeClr val="accent1"/>
            </a:solidFill>
            <a:ln>
              <a:noFill/>
            </a:ln>
            <a:effectLst/>
          </c:spPr>
          <c:invertIfNegative val="0"/>
          <c:dLbls>
            <c:dLbl>
              <c:idx val="0"/>
              <c:layout>
                <c:manualLayout>
                  <c:x val="-0.00199627362257117"/>
                  <c:y val="0.01479581771552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98882086771337"/>
                  <c:y val="0.02843874194239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[公报图表.xlsx]Sheet1!$B$1:$C$1</c:f>
              <c:strCache>
                <c:ptCount val="2"/>
                <c:pt idx="0">
                  <c:v>2019年</c:v>
                </c:pt>
                <c:pt idx="1">
                  <c:v>2020年</c:v>
                </c:pt>
              </c:strCache>
            </c:strRef>
          </c:cat>
          <c:val>
            <c:numRef>
              <c:f>[公报图表.xlsx]Sheet1!$B$2:$C$2</c:f>
              <c:numCache>
                <c:formatCode>General</c:formatCode>
                <c:ptCount val="2"/>
                <c:pt idx="0">
                  <c:v>186.75</c:v>
                </c:pt>
                <c:pt idx="1">
                  <c:v>208.85</c:v>
                </c:pt>
              </c:numCache>
            </c:numRef>
          </c:val>
        </c:ser>
        <c:dLbls>
          <c:showLegendKey val="0"/>
          <c:showVal val="1"/>
          <c:showCatName val="0"/>
          <c:showSerName val="0"/>
          <c:showPercent val="0"/>
          <c:showBubbleSize val="0"/>
        </c:dLbls>
        <c:gapWidth val="219"/>
        <c:overlap val="-27"/>
        <c:axId val="792254461"/>
        <c:axId val="803564731"/>
      </c:barChart>
      <c:lineChart>
        <c:grouping val="standard"/>
        <c:varyColors val="0"/>
        <c:ser>
          <c:idx val="1"/>
          <c:order val="1"/>
          <c:tx>
            <c:strRef>
              <c:f>[公报图表.xlsx]Sheet1!$A$3</c:f>
              <c:strCache>
                <c:ptCount val="1"/>
                <c:pt idx="0">
                  <c:v>同比增长（%）</c:v>
                </c:pt>
              </c:strCache>
            </c:strRef>
          </c:tx>
          <c:spPr>
            <a:ln w="44450" cap="rnd">
              <a:solidFill>
                <a:srgbClr val="FF0000"/>
              </a:solidFill>
              <a:round/>
            </a:ln>
            <a:effectLst/>
            <a:sp3d contourW="44450"/>
          </c:spPr>
          <c:marker>
            <c:symbol val="circle"/>
            <c:size val="5"/>
            <c:spPr>
              <a:solidFill>
                <a:schemeClr val="accent2"/>
              </a:solidFill>
              <a:ln w="9525">
                <a:solidFill>
                  <a:schemeClr val="accent2"/>
                </a:solidFill>
              </a:ln>
              <a:effectLst/>
            </c:spPr>
          </c:marker>
          <c:dLbls>
            <c:dLbl>
              <c:idx val="0"/>
              <c:layout>
                <c:manualLayout>
                  <c:x val="-0.0729166666666667"/>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4166666666667"/>
                  <c:y val="-0.06597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[公报图表.xlsx]Sheet1!$B$1:$C$1</c:f>
              <c:strCache>
                <c:ptCount val="2"/>
                <c:pt idx="0">
                  <c:v>2019年</c:v>
                </c:pt>
                <c:pt idx="1">
                  <c:v>2020年</c:v>
                </c:pt>
              </c:strCache>
            </c:strRef>
          </c:cat>
          <c:val>
            <c:numRef>
              <c:f>[公报图表.xlsx]Sheet1!$B$3:$C$3</c:f>
              <c:numCache>
                <c:formatCode>General</c:formatCode>
                <c:ptCount val="2"/>
                <c:pt idx="0">
                  <c:v>15.3</c:v>
                </c:pt>
                <c:pt idx="1">
                  <c:v>9.2</c:v>
                </c:pt>
              </c:numCache>
            </c:numRef>
          </c:val>
          <c:smooth val="0"/>
        </c:ser>
        <c:dLbls>
          <c:showLegendKey val="0"/>
          <c:showVal val="1"/>
          <c:showCatName val="0"/>
          <c:showSerName val="0"/>
          <c:showPercent val="0"/>
          <c:showBubbleSize val="0"/>
        </c:dLbls>
        <c:marker val="1"/>
        <c:smooth val="0"/>
        <c:axId val="174235962"/>
        <c:axId val="794087512"/>
      </c:lineChart>
      <c:catAx>
        <c:axId val="7922544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564731"/>
        <c:crosses val="autoZero"/>
        <c:auto val="1"/>
        <c:lblAlgn val="ctr"/>
        <c:lblOffset val="100"/>
        <c:noMultiLvlLbl val="0"/>
      </c:catAx>
      <c:valAx>
        <c:axId val="803564731"/>
        <c:scaling>
          <c:orientation val="minMax"/>
        </c:scaling>
        <c:delete val="0"/>
        <c:axPos val="l"/>
        <c:numFmt formatCode="#,##0_);[Red]\(#,##0\)" sourceLinked="0"/>
        <c:majorTickMark val="none"/>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254461"/>
        <c:crosses val="autoZero"/>
        <c:crossBetween val="between"/>
      </c:valAx>
      <c:catAx>
        <c:axId val="174235962"/>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087512"/>
        <c:crosses val="autoZero"/>
        <c:auto val="1"/>
        <c:lblAlgn val="ctr"/>
        <c:lblOffset val="100"/>
        <c:noMultiLvlLbl val="0"/>
      </c:catAx>
      <c:valAx>
        <c:axId val="794087512"/>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23596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2016</a:t>
            </a:r>
            <a:r>
              <a:rPr altLang="en-US"/>
              <a:t>年</a:t>
            </a:r>
            <a:r>
              <a:rPr lang="en-US" altLang="zh-CN"/>
              <a:t>-2020</a:t>
            </a:r>
            <a:r>
              <a:rPr altLang="en-US"/>
              <a:t>年规模工业增加值增长速度</a:t>
            </a:r>
            <a:endParaRPr altLang="en-US"/>
          </a:p>
        </c:rich>
      </c:tx>
      <c:layout>
        <c:manualLayout>
          <c:xMode val="edge"/>
          <c:yMode val="edge"/>
          <c:x val="0.183888888888889"/>
          <c:y val="0.0451388888888889"/>
        </c:manualLayout>
      </c:layout>
      <c:overlay val="0"/>
      <c:spPr>
        <a:noFill/>
        <a:ln>
          <a:noFill/>
        </a:ln>
        <a:effectLst/>
      </c:spPr>
    </c:title>
    <c:autoTitleDeleted val="0"/>
    <c:plotArea>
      <c:layout>
        <c:manualLayout>
          <c:layoutTarget val="inner"/>
          <c:xMode val="edge"/>
          <c:yMode val="edge"/>
          <c:x val="0.0810555555555556"/>
          <c:y val="0.170200573065903"/>
          <c:w val="0.888388888888889"/>
          <c:h val="0.596829035339064"/>
        </c:manualLayout>
      </c:layout>
      <c:lineChart>
        <c:grouping val="standard"/>
        <c:varyColors val="0"/>
        <c:ser>
          <c:idx val="0"/>
          <c:order val="0"/>
          <c:tx>
            <c:strRef>
              <c:f>[公报图表.xlsx]Sheet1!$A$18</c:f>
              <c:strCache>
                <c:ptCount val="1"/>
                <c:pt idx="0">
                  <c:v>比上年增长（%）</c:v>
                </c:pt>
              </c:strCache>
            </c:strRef>
          </c:tx>
          <c:spPr>
            <a:ln w="28575" cap="rnd">
              <a:solidFill>
                <a:srgbClr val="FF0000"/>
              </a:solidFill>
              <a:round/>
            </a:ln>
            <a:effectLst/>
          </c:spPr>
          <c:marker>
            <c:symbol val="circle"/>
            <c:size val="5"/>
            <c:spPr>
              <a:solidFill>
                <a:schemeClr val="accent1"/>
              </a:solidFill>
              <a:ln w="9525">
                <a:solidFill>
                  <a:schemeClr val="accent1"/>
                </a:solidFill>
              </a:ln>
              <a:effectLst/>
            </c:spPr>
          </c:marker>
          <c:dLbls>
            <c:dLbl>
              <c:idx val="0"/>
              <c:layout>
                <c:manualLayout>
                  <c:x val="-0.0541666666666667"/>
                  <c:y val="0.03792581980261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75"/>
                  <c:y val="0.04183580070041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25"/>
                  <c:y val="0.0361051416746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20833333333333"/>
                  <c:y val="-0.0279469118115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4166666666667"/>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[工作簿2]Sheet1!$B$17:$F$17</c:f>
              <c:strCache>
                <c:ptCount val="5"/>
                <c:pt idx="0">
                  <c:v>2016年</c:v>
                </c:pt>
                <c:pt idx="1">
                  <c:v>2017年</c:v>
                </c:pt>
                <c:pt idx="2">
                  <c:v>2018年</c:v>
                </c:pt>
                <c:pt idx="3">
                  <c:v>2019年</c:v>
                </c:pt>
                <c:pt idx="4">
                  <c:v>2020年</c:v>
                </c:pt>
              </c:strCache>
            </c:strRef>
          </c:cat>
          <c:val>
            <c:numRef>
              <c:f>[工作簿2]Sheet1!$B$18:$F$18</c:f>
              <c:numCache>
                <c:formatCode>0.0_ </c:formatCode>
                <c:ptCount val="5"/>
                <c:pt idx="0">
                  <c:v>14.3</c:v>
                </c:pt>
                <c:pt idx="1">
                  <c:v>9.2</c:v>
                </c:pt>
                <c:pt idx="2">
                  <c:v>15.7</c:v>
                </c:pt>
                <c:pt idx="3">
                  <c:v>25</c:v>
                </c:pt>
                <c:pt idx="4">
                  <c:v>20.3</c:v>
                </c:pt>
              </c:numCache>
            </c:numRef>
          </c:val>
          <c:smooth val="0"/>
        </c:ser>
        <c:dLbls>
          <c:showLegendKey val="0"/>
          <c:showVal val="1"/>
          <c:showCatName val="0"/>
          <c:showSerName val="0"/>
          <c:showPercent val="0"/>
          <c:showBubbleSize val="0"/>
        </c:dLbls>
        <c:marker val="1"/>
        <c:smooth val="0"/>
        <c:axId val="247930496"/>
        <c:axId val="757916772"/>
      </c:lineChart>
      <c:catAx>
        <c:axId val="2479304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916772"/>
        <c:crosses val="autoZero"/>
        <c:auto val="1"/>
        <c:lblAlgn val="ctr"/>
        <c:lblOffset val="100"/>
        <c:noMultiLvlLbl val="0"/>
      </c:catAx>
      <c:valAx>
        <c:axId val="757916772"/>
        <c:scaling>
          <c:orientation val="minMax"/>
        </c:scaling>
        <c:delete val="0"/>
        <c:axPos val="l"/>
        <c:majorGridlines>
          <c:spPr>
            <a:ln w="9525" cap="flat" cmpd="sng" algn="ctr">
              <a:noFill/>
              <a:round/>
            </a:ln>
            <a:effectLst/>
          </c:spPr>
        </c:majorGridlines>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7930496"/>
        <c:crosses val="autoZero"/>
        <c:crossBetween val="between"/>
      </c:valAx>
      <c:spPr>
        <a:noFill/>
        <a:ln>
          <a:noFill/>
        </a:ln>
        <a:effectLst/>
      </c:spPr>
    </c:plotArea>
    <c:legend>
      <c:legendPos val="r"/>
      <c:layout>
        <c:manualLayout>
          <c:xMode val="edge"/>
          <c:yMode val="edge"/>
          <c:x val="0.376944444444444"/>
          <c:y val="0.8896848137535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年三次产业投资占固定资产投资比重（</a:t>
            </a:r>
            <a:r>
              <a:rPr lang="en-US" altLang="zh-CN"/>
              <a:t>%</a:t>
            </a:r>
            <a:r>
              <a:rPr altLang="en-US"/>
              <a:t>）</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0120366819574416"/>
                  <c:y val="0.008396801751969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[公报图表.xlsx]Sheet1!$A$95:$C$95</c:f>
              <c:strCache>
                <c:ptCount val="3"/>
                <c:pt idx="0">
                  <c:v>第一产业</c:v>
                </c:pt>
                <c:pt idx="1">
                  <c:v>第二产业</c:v>
                </c:pt>
                <c:pt idx="2">
                  <c:v>第三产业</c:v>
                </c:pt>
              </c:strCache>
            </c:strRef>
          </c:cat>
          <c:val>
            <c:numRef>
              <c:f>[公报图表.xlsx]Sheet1!$A$96:$C$96</c:f>
              <c:numCache>
                <c:formatCode>0.00_ </c:formatCode>
                <c:ptCount val="3"/>
                <c:pt idx="0">
                  <c:v>4.24217368991276</c:v>
                </c:pt>
                <c:pt idx="1">
                  <c:v>29.5088479595522</c:v>
                </c:pt>
                <c:pt idx="2">
                  <c:v>66.2489783505351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01111111111111"/>
          <c:y val="0.8534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2016</a:t>
            </a:r>
            <a:r>
              <a:rPr altLang="en-US"/>
              <a:t>年</a:t>
            </a:r>
            <a:r>
              <a:rPr lang="en-US" altLang="zh-CN"/>
              <a:t>-2020</a:t>
            </a:r>
            <a:r>
              <a:rPr altLang="en-US"/>
              <a:t>年</a:t>
            </a:r>
            <a:r>
              <a:rPr lang="en-US" altLang="zh-CN"/>
              <a:t>500</a:t>
            </a:r>
            <a:r>
              <a:rPr altLang="en-US"/>
              <a:t>万以上固定资产投资增长速度</a:t>
            </a:r>
            <a:endParaRPr altLang="en-US"/>
          </a:p>
        </c:rich>
      </c:tx>
      <c:layout/>
      <c:overlay val="0"/>
      <c:spPr>
        <a:noFill/>
        <a:ln>
          <a:noFill/>
        </a:ln>
        <a:effectLst/>
      </c:spPr>
    </c:title>
    <c:autoTitleDeleted val="0"/>
    <c:plotArea>
      <c:layout>
        <c:manualLayout>
          <c:layoutTarget val="inner"/>
          <c:xMode val="edge"/>
          <c:yMode val="edge"/>
          <c:x val="0.0874697875588348"/>
          <c:y val="0.14877563865777"/>
          <c:w val="0.851723699274901"/>
          <c:h val="0.608797250859107"/>
        </c:manualLayout>
      </c:layout>
      <c:lineChart>
        <c:grouping val="stacked"/>
        <c:varyColors val="0"/>
        <c:ser>
          <c:idx val="0"/>
          <c:order val="0"/>
          <c:tx>
            <c:strRef>
              <c:f>"比上年增长（%）"</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591527795445872"/>
                  <c:y val="-0.05841924398625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57957002925836"/>
                  <c:y val="-0.051546391752577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[公报图表.xlsx]Sheet1!$A$98:$E$98</c:f>
              <c:strCache>
                <c:ptCount val="5"/>
                <c:pt idx="0">
                  <c:v>2016年</c:v>
                </c:pt>
                <c:pt idx="1">
                  <c:v>2017年</c:v>
                </c:pt>
                <c:pt idx="2">
                  <c:v>2018年</c:v>
                </c:pt>
                <c:pt idx="3">
                  <c:v>2019年</c:v>
                </c:pt>
                <c:pt idx="4">
                  <c:v>2020年</c:v>
                </c:pt>
              </c:strCache>
            </c:strRef>
          </c:cat>
          <c:val>
            <c:numRef>
              <c:f>[公报图表.xlsx]Sheet1!$A$99:$E$99</c:f>
              <c:numCache>
                <c:formatCode>General</c:formatCode>
                <c:ptCount val="5"/>
                <c:pt idx="0">
                  <c:v>21.9</c:v>
                </c:pt>
                <c:pt idx="1">
                  <c:v>24.5</c:v>
                </c:pt>
                <c:pt idx="2">
                  <c:v>17.2</c:v>
                </c:pt>
                <c:pt idx="3">
                  <c:v>9.3</c:v>
                </c:pt>
                <c:pt idx="4">
                  <c:v>18.5</c:v>
                </c:pt>
              </c:numCache>
            </c:numRef>
          </c:val>
          <c:smooth val="0"/>
        </c:ser>
        <c:dLbls>
          <c:showLegendKey val="0"/>
          <c:showVal val="1"/>
          <c:showCatName val="0"/>
          <c:showSerName val="0"/>
          <c:showPercent val="0"/>
          <c:showBubbleSize val="0"/>
        </c:dLbls>
        <c:marker val="1"/>
        <c:smooth val="0"/>
        <c:axId val="16481636"/>
        <c:axId val="184207512"/>
      </c:lineChart>
      <c:catAx>
        <c:axId val="164816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184207512"/>
        <c:crosses val="autoZero"/>
        <c:auto val="1"/>
        <c:lblAlgn val="ctr"/>
        <c:lblOffset val="100"/>
        <c:noMultiLvlLbl val="0"/>
      </c:catAx>
      <c:valAx>
        <c:axId val="184207512"/>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81636"/>
        <c:crosses val="autoZero"/>
        <c:crossBetween val="between"/>
      </c:valAx>
      <c:spPr>
        <a:noFill/>
        <a:ln>
          <a:noFill/>
        </a:ln>
        <a:effectLst/>
      </c:spPr>
    </c:plotArea>
    <c:legend>
      <c:legendPos val="r"/>
      <c:layout>
        <c:manualLayout>
          <c:xMode val="edge"/>
          <c:yMode val="edge"/>
          <c:x val="0.389269265289969"/>
          <c:y val="0.8580312553578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2016</a:t>
            </a:r>
            <a:r>
              <a:rPr altLang="en-US"/>
              <a:t>年</a:t>
            </a:r>
            <a:r>
              <a:rPr lang="en-US" altLang="zh-CN"/>
              <a:t>-2020</a:t>
            </a:r>
            <a:r>
              <a:rPr altLang="en-US"/>
              <a:t>年社会消费品零售总额增长速度</a:t>
            </a:r>
            <a:endParaRPr altLang="en-US"/>
          </a:p>
        </c:rich>
      </c:tx>
      <c:layout>
        <c:manualLayout>
          <c:xMode val="edge"/>
          <c:yMode val="edge"/>
          <c:x val="0.132375184165902"/>
          <c:y val="0.0264084507042254"/>
        </c:manualLayout>
      </c:layout>
      <c:overlay val="0"/>
      <c:spPr>
        <a:noFill/>
        <a:ln>
          <a:noFill/>
        </a:ln>
        <a:effectLst/>
      </c:spPr>
    </c:title>
    <c:autoTitleDeleted val="0"/>
    <c:plotArea>
      <c:layout>
        <c:manualLayout>
          <c:layoutTarget val="inner"/>
          <c:xMode val="edge"/>
          <c:yMode val="edge"/>
          <c:x val="0.0810555555555556"/>
          <c:y val="0.1875"/>
          <c:w val="0.902972222222222"/>
          <c:h val="0.549383802816901"/>
        </c:manualLayout>
      </c:layout>
      <c:lineChart>
        <c:grouping val="stacked"/>
        <c:varyColors val="0"/>
        <c:ser>
          <c:idx val="0"/>
          <c:order val="0"/>
          <c:tx>
            <c:strRef>
              <c:f>"比上年增长（%）"</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5625"/>
                  <c:y val="-0.042913732394366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58333333333333"/>
                  <c:y val="-0.03631161971830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0833333333333"/>
                  <c:y val="-0.05611795774647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666666666667"/>
                  <c:y val="0.04951584507042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66666666666667"/>
                  <c:y val="-0.009903169014084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[公报图表.xlsx]Sheet1!$A$123:$E$123</c:f>
              <c:strCache>
                <c:ptCount val="5"/>
                <c:pt idx="0">
                  <c:v>2016年</c:v>
                </c:pt>
                <c:pt idx="1">
                  <c:v>2017年</c:v>
                </c:pt>
                <c:pt idx="2">
                  <c:v>2018年</c:v>
                </c:pt>
                <c:pt idx="3">
                  <c:v>2019年</c:v>
                </c:pt>
                <c:pt idx="4">
                  <c:v>2020年</c:v>
                </c:pt>
              </c:strCache>
            </c:strRef>
          </c:cat>
          <c:val>
            <c:numRef>
              <c:f>[公报图表.xlsx]Sheet1!$A$124:$E$124</c:f>
              <c:numCache>
                <c:formatCode>0.0_ </c:formatCode>
                <c:ptCount val="5"/>
                <c:pt idx="0">
                  <c:v>13.4</c:v>
                </c:pt>
                <c:pt idx="1">
                  <c:v>17</c:v>
                </c:pt>
                <c:pt idx="2">
                  <c:v>9.7</c:v>
                </c:pt>
                <c:pt idx="3">
                  <c:v>4.1</c:v>
                </c:pt>
                <c:pt idx="4">
                  <c:v>7.7</c:v>
                </c:pt>
              </c:numCache>
            </c:numRef>
          </c:val>
          <c:smooth val="0"/>
        </c:ser>
        <c:dLbls>
          <c:showLegendKey val="0"/>
          <c:showVal val="1"/>
          <c:showCatName val="0"/>
          <c:showSerName val="0"/>
          <c:showPercent val="0"/>
          <c:showBubbleSize val="0"/>
        </c:dLbls>
        <c:marker val="1"/>
        <c:smooth val="0"/>
        <c:axId val="858242836"/>
        <c:axId val="765214020"/>
      </c:lineChart>
      <c:catAx>
        <c:axId val="858242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5214020"/>
        <c:crosses val="autoZero"/>
        <c:auto val="1"/>
        <c:lblAlgn val="ctr"/>
        <c:lblOffset val="100"/>
        <c:noMultiLvlLbl val="0"/>
      </c:catAx>
      <c:valAx>
        <c:axId val="765214020"/>
        <c:scaling>
          <c:orientation val="minMax"/>
        </c:scaling>
        <c:delete val="0"/>
        <c:axPos val="l"/>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8242836"/>
        <c:crosses val="autoZero"/>
        <c:crossBetween val="between"/>
      </c:valAx>
      <c:spPr>
        <a:noFill/>
        <a:ln>
          <a:noFill/>
        </a:ln>
        <a:effectLst/>
      </c:spPr>
    </c:plotArea>
    <c:legend>
      <c:legendPos val="r"/>
      <c:layout>
        <c:manualLayout>
          <c:xMode val="edge"/>
          <c:yMode val="edge"/>
          <c:x val="0.385277777777778"/>
          <c:y val="0.8797244932519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2016</a:t>
            </a:r>
            <a:r>
              <a:rPr altLang="en-US"/>
              <a:t>年</a:t>
            </a:r>
            <a:r>
              <a:rPr lang="en-US" altLang="zh-CN"/>
              <a:t>-2020</a:t>
            </a:r>
            <a:r>
              <a:rPr altLang="en-US"/>
              <a:t>年一般公共预算收入及增长速度</a:t>
            </a:r>
            <a:endParaRPr altLang="en-US"/>
          </a:p>
        </c:rich>
      </c:tx>
      <c:layout>
        <c:manualLayout>
          <c:xMode val="edge"/>
          <c:yMode val="edge"/>
          <c:x val="0.133194444444444"/>
          <c:y val="0.0347222222222222"/>
        </c:manualLayout>
      </c:layout>
      <c:overlay val="0"/>
      <c:spPr>
        <a:noFill/>
        <a:ln>
          <a:noFill/>
        </a:ln>
        <a:effectLst/>
      </c:spPr>
    </c:title>
    <c:autoTitleDeleted val="0"/>
    <c:plotArea>
      <c:layout>
        <c:manualLayout>
          <c:layoutTarget val="inner"/>
          <c:xMode val="edge"/>
          <c:yMode val="edge"/>
          <c:x val="0.0936944444444444"/>
          <c:y val="0.179861111111111"/>
          <c:w val="0.844138888888889"/>
          <c:h val="0.606342592592593"/>
        </c:manualLayout>
      </c:layout>
      <c:barChart>
        <c:barDir val="col"/>
        <c:grouping val="clustered"/>
        <c:varyColors val="0"/>
        <c:ser>
          <c:idx val="0"/>
          <c:order val="0"/>
          <c:tx>
            <c:strRef>
              <c:f>[公报图表.xlsx]Sheet1!$A$139</c:f>
              <c:strCache>
                <c:ptCount val="1"/>
                <c:pt idx="0">
                  <c:v>一般公共预算收入（亿元）</c:v>
                </c:pt>
              </c:strCache>
            </c:strRef>
          </c:tx>
          <c:spPr>
            <a:solidFill>
              <a:schemeClr val="accent1"/>
            </a:solidFill>
            <a:ln>
              <a:noFill/>
            </a:ln>
            <a:effectLst/>
          </c:spPr>
          <c:invertIfNegative val="0"/>
          <c:dLbls>
            <c:dLbl>
              <c:idx val="0"/>
              <c:layout>
                <c:manualLayout>
                  <c:x val="1.57898385724467e-17"/>
                  <c:y val="0.01736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25000000000003"/>
                  <c:y val="0.01736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1666666666666"/>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75659133709981"/>
                  <c:y val="0.07986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16666666666679"/>
                  <c:y val="0.01736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accent1"/>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[公报图表.xlsx]Sheet1!$B$138:$F$138</c:f>
              <c:strCache>
                <c:ptCount val="5"/>
                <c:pt idx="0">
                  <c:v>2016年</c:v>
                </c:pt>
                <c:pt idx="1">
                  <c:v>2017年</c:v>
                </c:pt>
                <c:pt idx="2">
                  <c:v>2018年</c:v>
                </c:pt>
                <c:pt idx="3">
                  <c:v>2019年</c:v>
                </c:pt>
                <c:pt idx="4">
                  <c:v>2020年</c:v>
                </c:pt>
              </c:strCache>
            </c:strRef>
          </c:cat>
          <c:val>
            <c:numRef>
              <c:f>[公报图表.xlsx]Sheet1!$B$139:$F$139</c:f>
              <c:numCache>
                <c:formatCode>General</c:formatCode>
                <c:ptCount val="5"/>
                <c:pt idx="0">
                  <c:v>7.45</c:v>
                </c:pt>
                <c:pt idx="1">
                  <c:v>8.55</c:v>
                </c:pt>
                <c:pt idx="2">
                  <c:v>10.41</c:v>
                </c:pt>
                <c:pt idx="3">
                  <c:v>12.56</c:v>
                </c:pt>
                <c:pt idx="4">
                  <c:v>14.68</c:v>
                </c:pt>
              </c:numCache>
            </c:numRef>
          </c:val>
        </c:ser>
        <c:dLbls>
          <c:showLegendKey val="0"/>
          <c:showVal val="1"/>
          <c:showCatName val="0"/>
          <c:showSerName val="0"/>
          <c:showPercent val="0"/>
          <c:showBubbleSize val="0"/>
        </c:dLbls>
        <c:gapWidth val="219"/>
        <c:overlap val="-27"/>
        <c:axId val="187914756"/>
        <c:axId val="764061915"/>
      </c:barChart>
      <c:lineChart>
        <c:grouping val="standard"/>
        <c:varyColors val="0"/>
        <c:ser>
          <c:idx val="1"/>
          <c:order val="1"/>
          <c:tx>
            <c:strRef>
              <c:f>[公报图表.xlsx]Sheet1!$A$140</c:f>
              <c:strCache>
                <c:ptCount val="1"/>
                <c:pt idx="0">
                  <c:v>比上年增长（%）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0131826741996234"/>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04166666666667"/>
                  <c:y val="-0.04513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41666666666667"/>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62499999999999"/>
                  <c:y val="-0.04861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4166666666668"/>
                  <c:y val="0.01041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rgbClr val="FF0000"/>
                    </a:solidFill>
                    <a:uFill>
                      <a:solidFill>
                        <a:schemeClr val="tx1">
                          <a:lumMod val="75000"/>
                          <a:lumOff val="25000"/>
                        </a:schemeClr>
                      </a:solidFill>
                    </a:u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[公报图表.xlsx]Sheet1!$B$138:$F$138</c:f>
              <c:strCache>
                <c:ptCount val="5"/>
                <c:pt idx="0">
                  <c:v>2016年</c:v>
                </c:pt>
                <c:pt idx="1">
                  <c:v>2017年</c:v>
                </c:pt>
                <c:pt idx="2">
                  <c:v>2018年</c:v>
                </c:pt>
                <c:pt idx="3">
                  <c:v>2019年</c:v>
                </c:pt>
                <c:pt idx="4">
                  <c:v>2020年</c:v>
                </c:pt>
              </c:strCache>
            </c:strRef>
          </c:cat>
          <c:val>
            <c:numRef>
              <c:f>[公报图表.xlsx]Sheet1!$B$140:$F$140</c:f>
              <c:numCache>
                <c:formatCode>0.00_ </c:formatCode>
                <c:ptCount val="5"/>
                <c:pt idx="0">
                  <c:v>3.7</c:v>
                </c:pt>
                <c:pt idx="1" c:formatCode="General">
                  <c:v>20.72</c:v>
                </c:pt>
                <c:pt idx="2" c:formatCode="General">
                  <c:v>21.73</c:v>
                </c:pt>
                <c:pt idx="3" c:formatCode="General">
                  <c:v>20.69</c:v>
                </c:pt>
                <c:pt idx="4" c:formatCode="General">
                  <c:v>16.89</c:v>
                </c:pt>
              </c:numCache>
            </c:numRef>
          </c:val>
          <c:smooth val="0"/>
        </c:ser>
        <c:dLbls>
          <c:showLegendKey val="0"/>
          <c:showVal val="1"/>
          <c:showCatName val="0"/>
          <c:showSerName val="0"/>
          <c:showPercent val="0"/>
          <c:showBubbleSize val="0"/>
        </c:dLbls>
        <c:marker val="1"/>
        <c:smooth val="0"/>
        <c:axId val="530770644"/>
        <c:axId val="405381241"/>
      </c:lineChart>
      <c:catAx>
        <c:axId val="5307706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5381241"/>
        <c:crosses val="autoZero"/>
        <c:auto val="1"/>
        <c:lblAlgn val="ctr"/>
        <c:lblOffset val="100"/>
        <c:noMultiLvlLbl val="0"/>
      </c:catAx>
      <c:valAx>
        <c:axId val="405381241"/>
        <c:scaling>
          <c:orientation val="minMax"/>
        </c:scaling>
        <c:delete val="0"/>
        <c:axPos val="l"/>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0770644"/>
        <c:crosses val="autoZero"/>
        <c:crossBetween val="between"/>
      </c:valAx>
      <c:catAx>
        <c:axId val="18791475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061915"/>
        <c:crosses val="autoZero"/>
        <c:auto val="1"/>
        <c:lblAlgn val="ctr"/>
        <c:lblOffset val="100"/>
        <c:noMultiLvlLbl val="0"/>
      </c:catAx>
      <c:valAx>
        <c:axId val="764061915"/>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91475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2016年-2020年城镇居民人均可支配收入及增长速度</a:t>
            </a:r>
          </a:p>
        </c:rich>
      </c:tx>
      <c:layout>
        <c:manualLayout>
          <c:xMode val="edge"/>
          <c:yMode val="edge"/>
          <c:x val="0.0941131717232473"/>
          <c:y val="0.0531457349098593"/>
        </c:manualLayout>
      </c:layout>
      <c:overlay val="0"/>
      <c:spPr>
        <a:noFill/>
        <a:ln>
          <a:noFill/>
        </a:ln>
        <a:effectLst/>
      </c:spPr>
    </c:title>
    <c:autoTitleDeleted val="0"/>
    <c:plotArea>
      <c:layout>
        <c:manualLayout>
          <c:layoutTarget val="inner"/>
          <c:xMode val="edge"/>
          <c:yMode val="edge"/>
          <c:x val="0.0984870799303789"/>
          <c:y val="0.242190937087549"/>
          <c:w val="0.825384924353996"/>
          <c:h val="0.551341838979323"/>
        </c:manualLayout>
      </c:layout>
      <c:barChart>
        <c:barDir val="col"/>
        <c:grouping val="clustered"/>
        <c:varyColors val="0"/>
        <c:ser>
          <c:idx val="0"/>
          <c:order val="0"/>
          <c:tx>
            <c:strRef>
              <c:f>[公报图表.xlsx]Sheet1!$A$167</c:f>
              <c:strCache>
                <c:ptCount val="1"/>
                <c:pt idx="0">
                  <c:v>绝对值（元）</c:v>
                </c:pt>
              </c:strCache>
            </c:strRef>
          </c:tx>
          <c:spPr>
            <a:solidFill>
              <a:schemeClr val="accent1"/>
            </a:solidFill>
            <a:ln>
              <a:noFill/>
            </a:ln>
            <a:effectLst/>
          </c:spPr>
          <c:invertIfNegative val="0"/>
          <c:dLbls>
            <c:dLbl>
              <c:idx val="0"/>
              <c:layout>
                <c:manualLayout>
                  <c:x val="0"/>
                  <c:y val="0.02639683238011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0830097737314"/>
                  <c:y val="0.02969643642762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22573302985674"/>
                  <c:y val="0.09238891333040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82822332306868"/>
                  <c:y val="0.1187857457105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979762428508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[公报图表.xlsx]Sheet1!$B$166:$F$166</c:f>
              <c:strCache>
                <c:ptCount val="5"/>
                <c:pt idx="0">
                  <c:v>2016年</c:v>
                </c:pt>
                <c:pt idx="1">
                  <c:v>2017年</c:v>
                </c:pt>
                <c:pt idx="2">
                  <c:v>2018年</c:v>
                </c:pt>
                <c:pt idx="3">
                  <c:v>2019年</c:v>
                </c:pt>
                <c:pt idx="4">
                  <c:v>2020年</c:v>
                </c:pt>
              </c:strCache>
            </c:strRef>
          </c:cat>
          <c:val>
            <c:numRef>
              <c:f>[公报图表.xlsx]Sheet1!$B$167:$F$167</c:f>
              <c:numCache>
                <c:formatCode>General</c:formatCode>
                <c:ptCount val="5"/>
                <c:pt idx="0">
                  <c:v>24926</c:v>
                </c:pt>
                <c:pt idx="1">
                  <c:v>27344</c:v>
                </c:pt>
                <c:pt idx="2">
                  <c:v>29860</c:v>
                </c:pt>
                <c:pt idx="3">
                  <c:v>32816</c:v>
                </c:pt>
                <c:pt idx="4">
                  <c:v>34687</c:v>
                </c:pt>
              </c:numCache>
            </c:numRef>
          </c:val>
        </c:ser>
        <c:dLbls>
          <c:showLegendKey val="0"/>
          <c:showVal val="1"/>
          <c:showCatName val="0"/>
          <c:showSerName val="0"/>
          <c:showPercent val="0"/>
          <c:showBubbleSize val="0"/>
        </c:dLbls>
        <c:gapWidth val="219"/>
        <c:overlap val="-27"/>
        <c:axId val="692836397"/>
        <c:axId val="892615726"/>
      </c:barChart>
      <c:lineChart>
        <c:grouping val="stacked"/>
        <c:varyColors val="0"/>
        <c:ser>
          <c:idx val="1"/>
          <c:order val="1"/>
          <c:tx>
            <c:strRef>
              <c:f>[公报图表.xlsx]Sheet1!$A$168</c:f>
              <c:strCache>
                <c:ptCount val="1"/>
                <c:pt idx="0">
                  <c:v>比上年增长（%）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0481992234569554"/>
                  <c:y val="-0.056093268807743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1826215022091"/>
                  <c:y val="-0.05279366476022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81577185700897"/>
                  <c:y val="-0.05939287285525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02075244343286"/>
                  <c:y val="-0.05279366476022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049805864239"/>
                  <c:y val="-0.00329960404751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rgbClr val="FF0000"/>
                    </a:solidFill>
                    <a:uFill>
                      <a:solidFill>
                        <a:schemeClr val="tx1">
                          <a:lumMod val="75000"/>
                          <a:lumOff val="25000"/>
                        </a:schemeClr>
                      </a:solidFill>
                    </a:u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[公报图表.xlsx]Sheet1!$B$166:$F$166</c:f>
              <c:strCache>
                <c:ptCount val="5"/>
                <c:pt idx="0">
                  <c:v>2016年</c:v>
                </c:pt>
                <c:pt idx="1">
                  <c:v>2017年</c:v>
                </c:pt>
                <c:pt idx="2">
                  <c:v>2018年</c:v>
                </c:pt>
                <c:pt idx="3">
                  <c:v>2019年</c:v>
                </c:pt>
                <c:pt idx="4">
                  <c:v>2020年</c:v>
                </c:pt>
              </c:strCache>
            </c:strRef>
          </c:cat>
          <c:val>
            <c:numRef>
              <c:f>[公报图表.xlsx]Sheet1!$B$168:$F$168</c:f>
              <c:numCache>
                <c:formatCode>0.0_ </c:formatCode>
                <c:ptCount val="5"/>
                <c:pt idx="0">
                  <c:v>9</c:v>
                </c:pt>
                <c:pt idx="1">
                  <c:v>9.7</c:v>
                </c:pt>
                <c:pt idx="2">
                  <c:v>9.2</c:v>
                </c:pt>
                <c:pt idx="3">
                  <c:v>9.9</c:v>
                </c:pt>
                <c:pt idx="4">
                  <c:v>5.7</c:v>
                </c:pt>
              </c:numCache>
            </c:numRef>
          </c:val>
          <c:smooth val="0"/>
        </c:ser>
        <c:dLbls>
          <c:showLegendKey val="0"/>
          <c:showVal val="1"/>
          <c:showCatName val="0"/>
          <c:showSerName val="0"/>
          <c:showPercent val="0"/>
          <c:showBubbleSize val="0"/>
        </c:dLbls>
        <c:marker val="1"/>
        <c:smooth val="0"/>
        <c:axId val="707612886"/>
        <c:axId val="867144716"/>
      </c:lineChart>
      <c:catAx>
        <c:axId val="6928363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615726"/>
        <c:crosses val="autoZero"/>
        <c:auto val="1"/>
        <c:lblAlgn val="ctr"/>
        <c:lblOffset val="100"/>
        <c:noMultiLvlLbl val="0"/>
      </c:catAx>
      <c:valAx>
        <c:axId val="89261572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836397"/>
        <c:crosses val="autoZero"/>
        <c:crossBetween val="between"/>
      </c:valAx>
      <c:catAx>
        <c:axId val="70761288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144716"/>
        <c:crosses val="autoZero"/>
        <c:auto val="1"/>
        <c:lblAlgn val="ctr"/>
        <c:lblOffset val="100"/>
        <c:noMultiLvlLbl val="0"/>
      </c:catAx>
      <c:valAx>
        <c:axId val="867144716"/>
        <c:scaling>
          <c:orientation val="minMax"/>
        </c:scaling>
        <c:delete val="0"/>
        <c:axPos val="r"/>
        <c:numFmt formatCode="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761288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2016</a:t>
            </a:r>
            <a:r>
              <a:rPr altLang="en-US"/>
              <a:t>年</a:t>
            </a:r>
            <a:r>
              <a:rPr lang="en-US" altLang="zh-CN"/>
              <a:t>-2020</a:t>
            </a:r>
            <a:r>
              <a:rPr altLang="en-US"/>
              <a:t>年农村居民人均可支配收入及增长速度</a:t>
            </a:r>
            <a:endParaRPr altLang="en-US"/>
          </a:p>
        </c:rich>
      </c:tx>
      <c:layout/>
      <c:overlay val="0"/>
      <c:spPr>
        <a:noFill/>
        <a:ln>
          <a:noFill/>
        </a:ln>
        <a:effectLst/>
      </c:spPr>
    </c:title>
    <c:autoTitleDeleted val="0"/>
    <c:plotArea>
      <c:layout/>
      <c:barChart>
        <c:barDir val="col"/>
        <c:grouping val="clustered"/>
        <c:varyColors val="0"/>
        <c:ser>
          <c:idx val="0"/>
          <c:order val="0"/>
          <c:tx>
            <c:strRef>
              <c:f>[公报图表.xlsx]Sheet1!$A$172</c:f>
              <c:strCache>
                <c:ptCount val="1"/>
                <c:pt idx="0">
                  <c:v>绝对值（元）</c:v>
                </c:pt>
              </c:strCache>
            </c:strRef>
          </c:tx>
          <c:spPr>
            <a:solidFill>
              <a:schemeClr val="accent1"/>
            </a:solidFill>
            <a:ln>
              <a:noFill/>
            </a:ln>
            <a:effectLst/>
          </c:spPr>
          <c:invertIfNegative val="0"/>
          <c:dLbls>
            <c:dLbl>
              <c:idx val="0"/>
              <c:layout>
                <c:manualLayout>
                  <c:x val="0"/>
                  <c:y val="0.01753975678203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31571562207670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83531139116603"/>
                  <c:y val="0.028063610851262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97418328643093"/>
                  <c:y val="0.080682881197380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245556594948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[公报图表.xlsx]Sheet1!$B$171:$F$171</c:f>
              <c:strCache>
                <c:ptCount val="5"/>
                <c:pt idx="0">
                  <c:v>2016年</c:v>
                </c:pt>
                <c:pt idx="1">
                  <c:v>2017年</c:v>
                </c:pt>
                <c:pt idx="2">
                  <c:v>2018年</c:v>
                </c:pt>
                <c:pt idx="3">
                  <c:v>2019年</c:v>
                </c:pt>
                <c:pt idx="4">
                  <c:v>2020年</c:v>
                </c:pt>
              </c:strCache>
            </c:strRef>
          </c:cat>
          <c:val>
            <c:numRef>
              <c:f>[公报图表.xlsx]Sheet1!$B$172:$F$172</c:f>
              <c:numCache>
                <c:formatCode>General</c:formatCode>
                <c:ptCount val="5"/>
                <c:pt idx="0">
                  <c:v>8577</c:v>
                </c:pt>
                <c:pt idx="1">
                  <c:v>9496</c:v>
                </c:pt>
                <c:pt idx="2">
                  <c:v>10492</c:v>
                </c:pt>
                <c:pt idx="3">
                  <c:v>11625</c:v>
                </c:pt>
                <c:pt idx="4">
                  <c:v>12683</c:v>
                </c:pt>
              </c:numCache>
            </c:numRef>
          </c:val>
        </c:ser>
        <c:dLbls>
          <c:showLegendKey val="0"/>
          <c:showVal val="1"/>
          <c:showCatName val="0"/>
          <c:showSerName val="0"/>
          <c:showPercent val="0"/>
          <c:showBubbleSize val="0"/>
        </c:dLbls>
        <c:gapWidth val="219"/>
        <c:overlap val="-27"/>
        <c:axId val="495600789"/>
        <c:axId val="87962116"/>
      </c:barChart>
      <c:lineChart>
        <c:grouping val="stacked"/>
        <c:varyColors val="0"/>
        <c:ser>
          <c:idx val="1"/>
          <c:order val="1"/>
          <c:tx>
            <c:strRef>
              <c:f>[公报图表.xlsx]Sheet1!$A$173</c:f>
              <c:strCache>
                <c:ptCount val="1"/>
                <c:pt idx="0">
                  <c:v>比上年增长（%）</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0183531139116603"/>
                  <c:y val="0.01403180542563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0474733879848"/>
                  <c:y val="-0.049111318989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40474733879848"/>
                  <c:y val="-0.03507951356407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85415392144867"/>
                  <c:y val="-0.03858746492048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65178025204943"/>
                  <c:y val="-0.003507951356407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rgbClr val="FF0000"/>
                    </a:solidFill>
                    <a:uFill>
                      <a:solidFill>
                        <a:schemeClr val="tx1">
                          <a:lumMod val="75000"/>
                          <a:lumOff val="25000"/>
                        </a:schemeClr>
                      </a:solidFill>
                    </a:u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[公报图表.xlsx]Sheet1!$B$171:$F$171</c:f>
              <c:strCache>
                <c:ptCount val="5"/>
                <c:pt idx="0">
                  <c:v>2016年</c:v>
                </c:pt>
                <c:pt idx="1">
                  <c:v>2017年</c:v>
                </c:pt>
                <c:pt idx="2">
                  <c:v>2018年</c:v>
                </c:pt>
                <c:pt idx="3">
                  <c:v>2019年</c:v>
                </c:pt>
                <c:pt idx="4">
                  <c:v>2020年</c:v>
                </c:pt>
              </c:strCache>
            </c:strRef>
          </c:cat>
          <c:val>
            <c:numRef>
              <c:f>[公报图表.xlsx]Sheet1!$B$173:$F$173</c:f>
              <c:numCache>
                <c:formatCode>General</c:formatCode>
                <c:ptCount val="5"/>
                <c:pt idx="0">
                  <c:v>9.3</c:v>
                </c:pt>
                <c:pt idx="1">
                  <c:v>10.4</c:v>
                </c:pt>
                <c:pt idx="2">
                  <c:v>10.8</c:v>
                </c:pt>
                <c:pt idx="3">
                  <c:v>10.8</c:v>
                </c:pt>
                <c:pt idx="4">
                  <c:v>9.1</c:v>
                </c:pt>
              </c:numCache>
            </c:numRef>
          </c:val>
          <c:smooth val="0"/>
        </c:ser>
        <c:dLbls>
          <c:showLegendKey val="0"/>
          <c:showVal val="1"/>
          <c:showCatName val="0"/>
          <c:showSerName val="0"/>
          <c:showPercent val="0"/>
          <c:showBubbleSize val="0"/>
        </c:dLbls>
        <c:marker val="1"/>
        <c:smooth val="0"/>
        <c:axId val="320620362"/>
        <c:axId val="337931847"/>
      </c:lineChart>
      <c:catAx>
        <c:axId val="4956007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62116"/>
        <c:crosses val="autoZero"/>
        <c:auto val="1"/>
        <c:lblAlgn val="ctr"/>
        <c:lblOffset val="100"/>
        <c:noMultiLvlLbl val="0"/>
      </c:catAx>
      <c:valAx>
        <c:axId val="8796211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5600789"/>
        <c:crosses val="autoZero"/>
        <c:crossBetween val="between"/>
      </c:valAx>
      <c:catAx>
        <c:axId val="320620362"/>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931847"/>
        <c:crosses val="autoZero"/>
        <c:auto val="1"/>
        <c:lblAlgn val="ctr"/>
        <c:lblOffset val="100"/>
        <c:noMultiLvlLbl val="0"/>
      </c:catAx>
      <c:valAx>
        <c:axId val="337931847"/>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62036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2019-05-05T01:39:00Z</dcterms:created>
  <dc:creator>んōρе</dc:creator>
  <cp:lastModifiedBy>xsxtjj006</cp:lastModifiedBy>
  <cp:lastPrinted>2021-07-06T02:04:11Z</cp:lastPrinted>
  <dcterms:modified xsi:type="dcterms:W3CDTF">2021-07-06T03:44:04Z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