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autoSpaceDE/>
        <w:autoSpaceDN/>
        <w:bidi w:val="0"/>
        <w:adjustRightInd/>
        <w:snapToGrid/>
        <w:spacing w:line="540" w:lineRule="exact"/>
        <w:jc w:val="center"/>
        <w:textAlignment w:val="auto"/>
        <w:rPr>
          <w:rFonts w:hint="eastAsia" w:ascii="黑体" w:hAnsi="黑体" w:eastAsia="黑体" w:cs="黑体"/>
          <w:b w:val="0"/>
          <w:bCs/>
          <w:sz w:val="30"/>
          <w:szCs w:val="30"/>
          <w:lang w:val="en-US" w:eastAsia="zh-CN"/>
        </w:rPr>
      </w:pPr>
      <w:r>
        <w:rPr>
          <w:rFonts w:hint="eastAsia" w:ascii="方正小标宋简体" w:hAnsi="方正小标宋简体" w:eastAsia="方正小标宋简体" w:cs="方正小标宋简体"/>
          <w:b w:val="0"/>
          <w:bCs/>
          <w:sz w:val="36"/>
          <w:szCs w:val="36"/>
        </w:rPr>
        <w:t>201</w:t>
      </w:r>
      <w:r>
        <w:rPr>
          <w:rFonts w:hint="eastAsia" w:ascii="方正小标宋简体" w:hAnsi="方正小标宋简体" w:eastAsia="方正小标宋简体" w:cs="方正小标宋简体"/>
          <w:b w:val="0"/>
          <w:bCs/>
          <w:sz w:val="36"/>
          <w:szCs w:val="36"/>
          <w:lang w:val="en-US" w:eastAsia="zh-CN"/>
        </w:rPr>
        <w:t>9</w:t>
      </w:r>
      <w:r>
        <w:rPr>
          <w:rFonts w:hint="eastAsia" w:ascii="方正小标宋简体" w:hAnsi="方正小标宋简体" w:eastAsia="方正小标宋简体" w:cs="方正小标宋简体"/>
          <w:b w:val="0"/>
          <w:bCs/>
          <w:sz w:val="36"/>
          <w:szCs w:val="36"/>
        </w:rPr>
        <w:t>年习水县国民经济和社会发展统计公报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全县上下坚持以习近平新时代中国特色社会主义思想为指导，</w:t>
      </w:r>
      <w:r>
        <w:rPr>
          <w:rFonts w:hint="eastAsia" w:ascii="仿宋_GB2312" w:hAnsi="仿宋_GB2312" w:eastAsia="仿宋_GB2312" w:cs="仿宋_GB2312"/>
          <w:color w:val="000000" w:themeColor="text1"/>
          <w:sz w:val="32"/>
          <w:szCs w:val="32"/>
          <w14:textFill>
            <w14:solidFill>
              <w14:schemeClr w14:val="tx1"/>
            </w14:solidFill>
          </w14:textFill>
        </w:rPr>
        <w:t>紧紧围绕“全面消除绝对贫困、全面建成小康社会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争创中国西部经济百强县”</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目标，统筹推进稳增长、促改革、调结构、惠民生、防风险各项工作,不断推动经济</w:t>
      </w:r>
      <w:r>
        <w:rPr>
          <w:rFonts w:hint="eastAsia" w:ascii="仿宋_GB2312" w:hAnsi="仿宋_GB2312" w:eastAsia="仿宋_GB2312" w:cs="仿宋_GB2312"/>
          <w:color w:val="000000" w:themeColor="text1"/>
          <w:sz w:val="32"/>
          <w:szCs w:val="32"/>
          <w:lang w:eastAsia="zh-CN"/>
          <w14:textFill>
            <w14:solidFill>
              <w14:schemeClr w14:val="tx1"/>
            </w14:solidFill>
          </w14:textFill>
        </w:rPr>
        <w:t>迈</w:t>
      </w:r>
      <w:r>
        <w:rPr>
          <w:rFonts w:hint="eastAsia" w:ascii="仿宋_GB2312" w:hAnsi="仿宋_GB2312" w:eastAsia="仿宋_GB2312" w:cs="仿宋_GB2312"/>
          <w:color w:val="000000" w:themeColor="text1"/>
          <w:sz w:val="32"/>
          <w:szCs w:val="32"/>
          <w14:textFill>
            <w14:solidFill>
              <w14:schemeClr w14:val="tx1"/>
            </w14:solidFill>
          </w14:textFill>
        </w:rPr>
        <w:t>向高质量发展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，经济运行呈现稳中向好发展态势。</w:t>
      </w:r>
      <w:r>
        <w:rPr>
          <w:rFonts w:hint="eastAsia" w:ascii="仿宋_GB2312" w:hAnsi="仿宋_GB2312" w:eastAsia="仿宋_GB2312" w:cs="仿宋_GB2312"/>
          <w:b w:val="0"/>
          <w:i w:val="0"/>
          <w:caps w:val="0"/>
          <w:color w:val="000000"/>
          <w:spacing w:val="0"/>
          <w:sz w:val="32"/>
          <w:szCs w:val="32"/>
          <w:shd w:val="clear" w:color="auto" w:fill="FFFFFF"/>
          <w:lang w:eastAsia="zh-CN"/>
        </w:rPr>
        <w:t>在全省增比进位综合测评考核中，我县综合得分</w:t>
      </w:r>
      <w:r>
        <w:rPr>
          <w:rFonts w:hint="eastAsia" w:ascii="仿宋_GB2312" w:hAnsi="仿宋_GB2312" w:eastAsia="仿宋_GB2312" w:cs="仿宋_GB2312"/>
          <w:b w:val="0"/>
          <w:i w:val="0"/>
          <w:caps w:val="0"/>
          <w:color w:val="000000"/>
          <w:spacing w:val="0"/>
          <w:sz w:val="32"/>
          <w:szCs w:val="32"/>
          <w:shd w:val="clear" w:color="auto" w:fill="FFFFFF"/>
          <w:lang w:val="en-US" w:eastAsia="zh-CN"/>
        </w:rPr>
        <w:t>排全省县域第一方阵第3位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一、综合</w:t>
      </w:r>
    </w:p>
    <w:p>
      <w:pPr>
        <w:keepNext w:val="0"/>
        <w:keepLines w:val="0"/>
        <w:pageBreakBefore w:val="0"/>
        <w:kinsoku/>
        <w:wordWrap/>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经市统计局</w:t>
      </w:r>
      <w:r>
        <w:rPr>
          <w:rFonts w:hint="eastAsia" w:ascii="仿宋_GB2312" w:hAnsi="仿宋_GB2312" w:eastAsia="仿宋_GB2312" w:cs="仿宋_GB2312"/>
          <w:kern w:val="0"/>
          <w:sz w:val="32"/>
          <w:szCs w:val="32"/>
        </w:rPr>
        <w:t>初步核算，</w:t>
      </w:r>
      <w:r>
        <w:rPr>
          <w:rFonts w:hint="eastAsia" w:ascii="仿宋_GB2312" w:hAnsi="仿宋_GB2312" w:eastAsia="仿宋_GB2312" w:cs="仿宋_GB2312"/>
          <w:bCs/>
          <w:sz w:val="32"/>
          <w:szCs w:val="32"/>
        </w:rPr>
        <w:t>全</w:t>
      </w:r>
      <w:r>
        <w:rPr>
          <w:rFonts w:hint="eastAsia" w:ascii="仿宋_GB2312" w:hAnsi="仿宋_GB2312" w:eastAsia="仿宋_GB2312" w:cs="仿宋_GB2312"/>
          <w:bCs/>
          <w:sz w:val="32"/>
          <w:szCs w:val="32"/>
          <w:lang w:eastAsia="zh-CN"/>
        </w:rPr>
        <w:t>县</w:t>
      </w:r>
      <w:r>
        <w:rPr>
          <w:rFonts w:hint="eastAsia" w:ascii="仿宋_GB2312" w:hAnsi="仿宋_GB2312" w:eastAsia="仿宋_GB2312" w:cs="仿宋_GB2312"/>
          <w:bCs/>
          <w:sz w:val="32"/>
          <w:szCs w:val="32"/>
        </w:rPr>
        <w:t>地区生产总值</w:t>
      </w:r>
      <w:r>
        <w:rPr>
          <w:rFonts w:hint="eastAsia" w:ascii="仿宋_GB2312" w:hAnsi="仿宋_GB2312" w:eastAsia="仿宋_GB2312" w:cs="仿宋_GB2312"/>
          <w:bCs/>
          <w:sz w:val="32"/>
          <w:szCs w:val="32"/>
          <w:lang w:val="en-US" w:eastAsia="zh-CN"/>
        </w:rPr>
        <w:t>186.75</w:t>
      </w:r>
      <w:r>
        <w:rPr>
          <w:rFonts w:hint="eastAsia" w:ascii="仿宋_GB2312" w:hAnsi="仿宋_GB2312" w:eastAsia="仿宋_GB2312" w:cs="仿宋_GB2312"/>
          <w:bCs/>
          <w:sz w:val="32"/>
          <w:szCs w:val="32"/>
        </w:rPr>
        <w:t>亿元，比上年增长</w:t>
      </w:r>
      <w:r>
        <w:rPr>
          <w:rFonts w:hint="eastAsia" w:ascii="仿宋_GB2312" w:hAnsi="仿宋_GB2312" w:eastAsia="仿宋_GB2312" w:cs="仿宋_GB2312"/>
          <w:bCs/>
          <w:sz w:val="32"/>
          <w:szCs w:val="32"/>
          <w:lang w:val="en-US" w:eastAsia="zh-CN"/>
        </w:rPr>
        <w:t>15.3%</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其中</w:t>
      </w:r>
      <w:r>
        <w:rPr>
          <w:rFonts w:hint="eastAsia" w:ascii="仿宋_GB2312" w:hAnsi="仿宋_GB2312" w:eastAsia="仿宋_GB2312" w:cs="仿宋_GB2312"/>
          <w:bCs/>
          <w:sz w:val="32"/>
          <w:szCs w:val="32"/>
        </w:rPr>
        <w:t>，第一产业增加值</w:t>
      </w:r>
      <w:r>
        <w:rPr>
          <w:rFonts w:hint="eastAsia" w:ascii="仿宋_GB2312" w:hAnsi="仿宋_GB2312" w:eastAsia="仿宋_GB2312" w:cs="仿宋_GB2312"/>
          <w:bCs/>
          <w:sz w:val="32"/>
          <w:szCs w:val="32"/>
          <w:lang w:val="en-US" w:eastAsia="zh-CN"/>
        </w:rPr>
        <w:t>33.6</w:t>
      </w:r>
      <w:r>
        <w:rPr>
          <w:rFonts w:hint="eastAsia" w:ascii="仿宋_GB2312" w:hAnsi="仿宋_GB2312" w:eastAsia="仿宋_GB2312" w:cs="仿宋_GB2312"/>
          <w:bCs/>
          <w:sz w:val="32"/>
          <w:szCs w:val="32"/>
        </w:rPr>
        <w:t>亿元，增长</w:t>
      </w:r>
      <w:r>
        <w:rPr>
          <w:rFonts w:hint="eastAsia" w:ascii="仿宋_GB2312" w:hAnsi="仿宋_GB2312" w:eastAsia="仿宋_GB2312" w:cs="仿宋_GB2312"/>
          <w:bCs/>
          <w:sz w:val="32"/>
          <w:szCs w:val="32"/>
          <w:lang w:val="en-US" w:eastAsia="zh-CN"/>
        </w:rPr>
        <w:t>5.6</w:t>
      </w:r>
      <w:r>
        <w:rPr>
          <w:rFonts w:hint="eastAsia" w:ascii="仿宋_GB2312" w:hAnsi="仿宋_GB2312" w:eastAsia="仿宋_GB2312" w:cs="仿宋_GB2312"/>
          <w:bCs/>
          <w:sz w:val="32"/>
          <w:szCs w:val="32"/>
        </w:rPr>
        <w:t>%；第二产业增加值</w:t>
      </w:r>
      <w:r>
        <w:rPr>
          <w:rFonts w:hint="eastAsia" w:ascii="仿宋_GB2312" w:hAnsi="仿宋_GB2312" w:eastAsia="仿宋_GB2312" w:cs="仿宋_GB2312"/>
          <w:bCs/>
          <w:sz w:val="32"/>
          <w:szCs w:val="32"/>
          <w:lang w:val="en-US" w:eastAsia="zh-CN"/>
        </w:rPr>
        <w:t>80.99</w:t>
      </w:r>
      <w:r>
        <w:rPr>
          <w:rFonts w:hint="eastAsia" w:ascii="仿宋_GB2312" w:hAnsi="仿宋_GB2312" w:eastAsia="仿宋_GB2312" w:cs="仿宋_GB2312"/>
          <w:bCs/>
          <w:sz w:val="32"/>
          <w:szCs w:val="32"/>
        </w:rPr>
        <w:t>亿元，增长</w:t>
      </w:r>
      <w:r>
        <w:rPr>
          <w:rFonts w:hint="eastAsia" w:ascii="仿宋_GB2312" w:hAnsi="仿宋_GB2312" w:eastAsia="仿宋_GB2312" w:cs="仿宋_GB2312"/>
          <w:bCs/>
          <w:sz w:val="32"/>
          <w:szCs w:val="32"/>
          <w:lang w:val="en-US" w:eastAsia="zh-CN"/>
        </w:rPr>
        <w:t>23.9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（工业增加值</w:t>
      </w:r>
      <w:r>
        <w:rPr>
          <w:rFonts w:hint="eastAsia" w:ascii="仿宋_GB2312" w:hAnsi="仿宋_GB2312" w:eastAsia="仿宋_GB2312" w:cs="仿宋_GB2312"/>
          <w:bCs/>
          <w:sz w:val="32"/>
          <w:szCs w:val="32"/>
          <w:lang w:val="en-US" w:eastAsia="zh-CN"/>
        </w:rPr>
        <w:t>73.5亿元，增长24.4%</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；第三产业增加值</w:t>
      </w:r>
      <w:r>
        <w:rPr>
          <w:rFonts w:hint="eastAsia" w:ascii="仿宋_GB2312" w:hAnsi="仿宋_GB2312" w:eastAsia="仿宋_GB2312" w:cs="仿宋_GB2312"/>
          <w:bCs/>
          <w:sz w:val="32"/>
          <w:szCs w:val="32"/>
          <w:lang w:val="en-US" w:eastAsia="zh-CN"/>
        </w:rPr>
        <w:t>72.16</w:t>
      </w:r>
      <w:r>
        <w:rPr>
          <w:rFonts w:hint="eastAsia" w:ascii="仿宋_GB2312" w:hAnsi="仿宋_GB2312" w:eastAsia="仿宋_GB2312" w:cs="仿宋_GB2312"/>
          <w:bCs/>
          <w:sz w:val="32"/>
          <w:szCs w:val="32"/>
        </w:rPr>
        <w:t>亿元，增长</w:t>
      </w:r>
      <w:r>
        <w:rPr>
          <w:rFonts w:hint="eastAsia" w:ascii="仿宋_GB2312" w:hAnsi="仿宋_GB2312" w:eastAsia="仿宋_GB2312" w:cs="仿宋_GB2312"/>
          <w:bCs/>
          <w:sz w:val="32"/>
          <w:szCs w:val="32"/>
          <w:lang w:val="en-US" w:eastAsia="zh-CN"/>
        </w:rPr>
        <w:t>10.9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第一产业增加值占地区生产总值比重为</w:t>
      </w:r>
      <w:r>
        <w:rPr>
          <w:rFonts w:hint="eastAsia" w:ascii="仿宋_GB2312" w:hAnsi="仿宋_GB2312" w:eastAsia="仿宋_GB2312" w:cs="仿宋_GB2312"/>
          <w:bCs/>
          <w:sz w:val="32"/>
          <w:szCs w:val="32"/>
          <w:lang w:val="en-US" w:eastAsia="zh-CN"/>
        </w:rPr>
        <w:t>17.99%，</w:t>
      </w:r>
      <w:r>
        <w:rPr>
          <w:rFonts w:hint="eastAsia" w:ascii="仿宋_GB2312" w:hAnsi="仿宋_GB2312" w:eastAsia="仿宋_GB2312" w:cs="仿宋_GB2312"/>
          <w:bCs/>
          <w:sz w:val="32"/>
          <w:szCs w:val="32"/>
        </w:rPr>
        <w:t>所占比重比上年下降</w:t>
      </w:r>
      <w:r>
        <w:rPr>
          <w:rFonts w:hint="eastAsia" w:ascii="仿宋_GB2312" w:hAnsi="仿宋_GB2312" w:eastAsia="仿宋_GB2312" w:cs="仿宋_GB2312"/>
          <w:bCs/>
          <w:sz w:val="32"/>
          <w:szCs w:val="32"/>
          <w:lang w:val="en-US" w:eastAsia="zh-CN"/>
        </w:rPr>
        <w:t>1.78</w:t>
      </w:r>
      <w:r>
        <w:rPr>
          <w:rFonts w:hint="eastAsia" w:ascii="仿宋_GB2312" w:hAnsi="仿宋_GB2312" w:eastAsia="仿宋_GB2312" w:cs="仿宋_GB2312"/>
          <w:bCs/>
          <w:sz w:val="32"/>
          <w:szCs w:val="32"/>
        </w:rPr>
        <w:t>个百分点；第二产业增加值占地区生产总值的比重为</w:t>
      </w:r>
      <w:r>
        <w:rPr>
          <w:rFonts w:hint="eastAsia" w:ascii="仿宋_GB2312" w:hAnsi="仿宋_GB2312" w:eastAsia="仿宋_GB2312" w:cs="仿宋_GB2312"/>
          <w:bCs/>
          <w:sz w:val="32"/>
          <w:szCs w:val="32"/>
          <w:lang w:val="en-US" w:eastAsia="zh-CN"/>
        </w:rPr>
        <w:t>43.37</w:t>
      </w:r>
      <w:r>
        <w:rPr>
          <w:rFonts w:hint="default" w:ascii="仿宋_GB2312" w:hAnsi="仿宋_GB2312" w:eastAsia="仿宋_GB2312" w:cs="仿宋_GB2312"/>
          <w:bCs/>
          <w:sz w:val="32"/>
          <w:szCs w:val="32"/>
        </w:rPr>
        <w:t>%</w:t>
      </w:r>
      <w:r>
        <w:rPr>
          <w:rFonts w:hint="eastAsia" w:ascii="仿宋_GB2312" w:hAnsi="仿宋_GB2312" w:eastAsia="仿宋_GB2312" w:cs="仿宋_GB2312"/>
          <w:bCs/>
          <w:sz w:val="32"/>
          <w:szCs w:val="32"/>
        </w:rPr>
        <w:t>，所占比重比上年提高</w:t>
      </w:r>
      <w:r>
        <w:rPr>
          <w:rFonts w:hint="eastAsia" w:ascii="仿宋_GB2312" w:hAnsi="仿宋_GB2312" w:eastAsia="仿宋_GB2312" w:cs="仿宋_GB2312"/>
          <w:bCs/>
          <w:sz w:val="32"/>
          <w:szCs w:val="32"/>
          <w:lang w:val="en-US" w:eastAsia="zh-CN"/>
        </w:rPr>
        <w:t>2.96</w:t>
      </w:r>
      <w:r>
        <w:rPr>
          <w:rFonts w:hint="eastAsia" w:ascii="仿宋_GB2312" w:hAnsi="仿宋_GB2312" w:eastAsia="仿宋_GB2312" w:cs="仿宋_GB2312"/>
          <w:bCs/>
          <w:sz w:val="32"/>
          <w:szCs w:val="32"/>
        </w:rPr>
        <w:t>个百分点；第三产业增加值占地区生产总值的比重为</w:t>
      </w:r>
      <w:r>
        <w:rPr>
          <w:rFonts w:hint="eastAsia" w:ascii="仿宋_GB2312" w:hAnsi="仿宋_GB2312" w:eastAsia="仿宋_GB2312" w:cs="仿宋_GB2312"/>
          <w:bCs/>
          <w:sz w:val="32"/>
          <w:szCs w:val="32"/>
          <w:lang w:val="en-US" w:eastAsia="zh-CN"/>
        </w:rPr>
        <w:t>38.64</w:t>
      </w:r>
      <w:r>
        <w:rPr>
          <w:rFonts w:hint="default" w:ascii="仿宋_GB2312" w:hAnsi="仿宋_GB2312" w:eastAsia="仿宋_GB2312" w:cs="仿宋_GB2312"/>
          <w:bCs/>
          <w:sz w:val="32"/>
          <w:szCs w:val="32"/>
        </w:rPr>
        <w:t>%</w:t>
      </w:r>
      <w:r>
        <w:rPr>
          <w:rFonts w:hint="eastAsia" w:ascii="仿宋_GB2312" w:hAnsi="仿宋_GB2312" w:eastAsia="仿宋_GB2312" w:cs="仿宋_GB2312"/>
          <w:bCs/>
          <w:sz w:val="32"/>
          <w:szCs w:val="32"/>
        </w:rPr>
        <w:t>，所占比重比上年</w:t>
      </w:r>
      <w:r>
        <w:rPr>
          <w:rFonts w:hint="eastAsia" w:ascii="仿宋_GB2312" w:hAnsi="仿宋_GB2312" w:eastAsia="仿宋_GB2312" w:cs="仿宋_GB2312"/>
          <w:bCs/>
          <w:sz w:val="32"/>
          <w:szCs w:val="32"/>
          <w:lang w:eastAsia="zh-CN"/>
        </w:rPr>
        <w:t>下降</w:t>
      </w:r>
      <w:r>
        <w:rPr>
          <w:rFonts w:hint="eastAsia" w:ascii="仿宋_GB2312" w:hAnsi="仿宋_GB2312" w:eastAsia="仿宋_GB2312" w:cs="仿宋_GB2312"/>
          <w:bCs/>
          <w:sz w:val="32"/>
          <w:szCs w:val="32"/>
          <w:lang w:val="en-US" w:eastAsia="zh-CN"/>
        </w:rPr>
        <w:t>1.18</w:t>
      </w:r>
      <w:r>
        <w:rPr>
          <w:rFonts w:hint="eastAsia" w:ascii="仿宋_GB2312" w:hAnsi="仿宋_GB2312" w:eastAsia="仿宋_GB2312" w:cs="仿宋_GB2312"/>
          <w:bCs/>
          <w:sz w:val="32"/>
          <w:szCs w:val="32"/>
        </w:rPr>
        <w:t>个百分点。人均地区生产总值达到</w:t>
      </w:r>
      <w:r>
        <w:rPr>
          <w:rFonts w:hint="eastAsia" w:ascii="仿宋_GB2312" w:hAnsi="仿宋_GB2312" w:eastAsia="仿宋_GB2312" w:cs="仿宋_GB2312"/>
          <w:bCs/>
          <w:color w:val="auto"/>
          <w:sz w:val="32"/>
          <w:szCs w:val="32"/>
          <w:lang w:val="en-US" w:eastAsia="zh-CN"/>
        </w:rPr>
        <w:t>35538</w:t>
      </w:r>
      <w:r>
        <w:rPr>
          <w:rFonts w:hint="eastAsia" w:ascii="仿宋_GB2312" w:hAnsi="仿宋_GB2312" w:eastAsia="仿宋_GB2312" w:cs="仿宋_GB2312"/>
          <w:bCs/>
          <w:sz w:val="32"/>
          <w:szCs w:val="32"/>
        </w:rPr>
        <w:t>元。</w:t>
      </w:r>
    </w:p>
    <w:p>
      <w:pPr>
        <w:pStyle w:val="4"/>
        <w:spacing w:line="560" w:lineRule="exact"/>
        <w:jc w:val="left"/>
        <w:rPr>
          <w:rFonts w:eastAsia="黑体"/>
          <w:color w:val="000000"/>
          <w:sz w:val="32"/>
          <w:szCs w:val="32"/>
        </w:rPr>
      </w:pPr>
    </w:p>
    <w:p>
      <w:pPr>
        <w:pStyle w:val="4"/>
        <w:spacing w:line="560" w:lineRule="exact"/>
        <w:ind w:firstLine="640" w:firstLineChars="200"/>
        <w:jc w:val="left"/>
        <w:rPr>
          <w:rFonts w:eastAsia="黑体"/>
          <w:color w:val="000000"/>
          <w:sz w:val="32"/>
          <w:szCs w:val="32"/>
        </w:rPr>
      </w:pPr>
    </w:p>
    <w:p>
      <w:pPr>
        <w:pStyle w:val="4"/>
        <w:spacing w:line="560" w:lineRule="exact"/>
        <w:ind w:firstLine="640" w:firstLineChars="200"/>
        <w:jc w:val="left"/>
        <w:rPr>
          <w:rFonts w:eastAsia="黑体"/>
          <w:color w:val="000000"/>
          <w:sz w:val="32"/>
          <w:szCs w:val="32"/>
        </w:rPr>
      </w:pPr>
    </w:p>
    <w:p>
      <w:pPr>
        <w:pStyle w:val="4"/>
        <w:spacing w:line="560" w:lineRule="exact"/>
        <w:ind w:firstLine="640" w:firstLineChars="200"/>
        <w:jc w:val="left"/>
        <w:rPr>
          <w:rFonts w:eastAsia="黑体"/>
          <w:color w:val="000000"/>
          <w:sz w:val="32"/>
          <w:szCs w:val="32"/>
        </w:rPr>
      </w:pPr>
    </w:p>
    <w:p>
      <w:pPr>
        <w:pStyle w:val="4"/>
        <w:spacing w:line="560" w:lineRule="exact"/>
        <w:ind w:firstLine="480" w:firstLineChars="200"/>
        <w:jc w:val="left"/>
        <w:rPr>
          <w:rFonts w:eastAsia="黑体"/>
          <w:color w:val="000000"/>
          <w:sz w:val="32"/>
          <w:szCs w:val="32"/>
        </w:rPr>
      </w:pPr>
      <w:r>
        <w:drawing>
          <wp:anchor distT="0" distB="0" distL="114300" distR="114300" simplePos="0" relativeHeight="251666432" behindDoc="0" locked="0" layoutInCell="1" allowOverlap="1">
            <wp:simplePos x="0" y="0"/>
            <wp:positionH relativeFrom="column">
              <wp:posOffset>-5080</wp:posOffset>
            </wp:positionH>
            <wp:positionV relativeFrom="paragraph">
              <wp:posOffset>27940</wp:posOffset>
            </wp:positionV>
            <wp:extent cx="5285740" cy="2791460"/>
            <wp:effectExtent l="4445" t="4445" r="5715" b="23495"/>
            <wp:wrapNone/>
            <wp:docPr id="213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4"/>
        <w:spacing w:line="560" w:lineRule="exact"/>
        <w:ind w:firstLine="640" w:firstLineChars="200"/>
        <w:jc w:val="left"/>
        <w:rPr>
          <w:rFonts w:eastAsia="黑体"/>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rPr>
          <w:rFonts w:eastAsia="黑体"/>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rPr>
          <w:rFonts w:eastAsia="黑体"/>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rPr>
          <w:rFonts w:eastAsia="黑体"/>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rPr>
          <w:rFonts w:eastAsia="黑体"/>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rPr>
          <w:rFonts w:eastAsia="黑体"/>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rPr>
          <w:rFonts w:eastAsia="黑体"/>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rPr>
          <w:rFonts w:eastAsia="黑体"/>
          <w:color w:val="000000"/>
          <w:sz w:val="32"/>
          <w:szCs w:val="32"/>
        </w:rPr>
      </w:pPr>
      <w:r>
        <w:rPr>
          <w:rFonts w:eastAsia="黑体"/>
          <w:color w:val="000000"/>
          <w:sz w:val="32"/>
          <w:szCs w:val="32"/>
        </w:rPr>
        <w:t>二、脱贫攻坚</w:t>
      </w:r>
    </w:p>
    <w:p>
      <w:pPr>
        <w:pStyle w:val="4"/>
        <w:keepNext w:val="0"/>
        <w:keepLines w:val="0"/>
        <w:pageBreakBefore w:val="0"/>
        <w:widowControl w:val="0"/>
        <w:kinsoku/>
        <w:wordWrap/>
        <w:overflowPunct/>
        <w:topLinePunct w:val="0"/>
        <w:autoSpaceDE/>
        <w:autoSpaceDN/>
        <w:bidi w:val="0"/>
        <w:adjustRightInd/>
        <w:snapToGrid/>
        <w:spacing w:before="0" w:line="54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年末全</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建档立卡贫困人口</w:t>
      </w:r>
      <w:r>
        <w:rPr>
          <w:rFonts w:hint="eastAsia" w:ascii="仿宋_GB2312" w:hAnsi="仿宋_GB2312" w:eastAsia="仿宋_GB2312" w:cs="仿宋_GB2312"/>
          <w:color w:val="000000"/>
          <w:sz w:val="32"/>
          <w:szCs w:val="32"/>
          <w:lang w:val="en-US" w:eastAsia="zh-CN"/>
        </w:rPr>
        <w:t>全部实现清零</w:t>
      </w:r>
      <w:r>
        <w:rPr>
          <w:rFonts w:hint="eastAsia" w:ascii="仿宋_GB2312" w:hAnsi="仿宋_GB2312" w:eastAsia="仿宋_GB2312" w:cs="仿宋_GB2312"/>
          <w:color w:val="000000"/>
          <w:sz w:val="32"/>
          <w:szCs w:val="32"/>
        </w:rPr>
        <w:t>，全年减少贫困人口</w:t>
      </w:r>
      <w:r>
        <w:rPr>
          <w:rFonts w:hint="eastAsia" w:ascii="仿宋_GB2312" w:hAnsi="仿宋_GB2312" w:eastAsia="仿宋_GB2312" w:cs="仿宋_GB2312"/>
          <w:color w:val="000000"/>
          <w:sz w:val="32"/>
          <w:szCs w:val="32"/>
          <w:lang w:val="en-US" w:eastAsia="zh-CN"/>
        </w:rPr>
        <w:t>8972</w:t>
      </w:r>
      <w:r>
        <w:rPr>
          <w:rFonts w:hint="eastAsia" w:ascii="仿宋_GB2312" w:hAnsi="仿宋_GB2312" w:eastAsia="仿宋_GB2312" w:cs="仿宋_GB2312"/>
          <w:color w:val="000000"/>
          <w:sz w:val="32"/>
          <w:szCs w:val="32"/>
        </w:rPr>
        <w:t>人，贫困发生率下降至</w:t>
      </w:r>
      <w:r>
        <w:rPr>
          <w:rFonts w:hint="eastAsia" w:ascii="仿宋_GB2312" w:hAnsi="仿宋_GB2312" w:eastAsia="仿宋_GB2312" w:cs="仿宋_GB2312"/>
          <w:color w:val="000000"/>
          <w:sz w:val="32"/>
          <w:szCs w:val="32"/>
          <w:lang w:val="en-US" w:eastAsia="zh-CN"/>
        </w:rPr>
        <w:t>零</w:t>
      </w:r>
      <w:r>
        <w:rPr>
          <w:rFonts w:hint="eastAsia" w:ascii="仿宋_GB2312" w:hAnsi="仿宋_GB2312" w:eastAsia="仿宋_GB2312" w:cs="仿宋_GB2312"/>
          <w:color w:val="000000"/>
          <w:sz w:val="32"/>
          <w:szCs w:val="32"/>
        </w:rPr>
        <w:t>。</w:t>
      </w:r>
    </w:p>
    <w:p>
      <w:pPr>
        <w:pStyle w:val="4"/>
        <w:keepNext w:val="0"/>
        <w:keepLines w:val="0"/>
        <w:pageBreakBefore w:val="0"/>
        <w:widowControl w:val="0"/>
        <w:kinsoku/>
        <w:wordWrap/>
        <w:overflowPunct/>
        <w:topLinePunct w:val="0"/>
        <w:autoSpaceDE/>
        <w:autoSpaceDN/>
        <w:bidi w:val="0"/>
        <w:adjustRightInd/>
        <w:snapToGrid/>
        <w:spacing w:before="0" w:line="540" w:lineRule="exact"/>
        <w:jc w:val="both"/>
        <w:textAlignment w:val="auto"/>
        <w:rPr>
          <w:rFonts w:eastAsia="黑体"/>
          <w:color w:val="FF0000"/>
          <w:sz w:val="32"/>
          <w:szCs w:val="32"/>
        </w:rPr>
      </w:pPr>
      <w:r>
        <w:rPr>
          <w:color w:val="FF0000"/>
        </w:rPr>
        <w:drawing>
          <wp:anchor distT="0" distB="0" distL="114300" distR="114300" simplePos="0" relativeHeight="251674624" behindDoc="0" locked="0" layoutInCell="1" allowOverlap="1">
            <wp:simplePos x="0" y="0"/>
            <wp:positionH relativeFrom="column">
              <wp:posOffset>52070</wp:posOffset>
            </wp:positionH>
            <wp:positionV relativeFrom="paragraph">
              <wp:posOffset>12065</wp:posOffset>
            </wp:positionV>
            <wp:extent cx="5219700" cy="2781300"/>
            <wp:effectExtent l="4445" t="4445" r="14605" b="14605"/>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4"/>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rPr>
          <w:rFonts w:eastAsia="黑体"/>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rPr>
          <w:rFonts w:eastAsia="黑体"/>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rPr>
          <w:rFonts w:eastAsia="黑体"/>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rPr>
          <w:rFonts w:eastAsia="黑体"/>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rPr>
          <w:rFonts w:eastAsia="黑体"/>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rPr>
          <w:rFonts w:eastAsia="黑体"/>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rPr>
          <w:rFonts w:eastAsia="黑体"/>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rPr>
          <w:rFonts w:eastAsia="黑体"/>
          <w:color w:val="000000"/>
          <w:sz w:val="32"/>
          <w:szCs w:val="32"/>
        </w:rPr>
      </w:pPr>
      <w:r>
        <w:rPr>
          <w:rFonts w:eastAsia="黑体"/>
          <w:color w:val="000000"/>
          <w:sz w:val="32"/>
          <w:szCs w:val="32"/>
        </w:rPr>
        <w:t>三、农业</w:t>
      </w:r>
    </w:p>
    <w:p>
      <w:pPr>
        <w:pStyle w:val="4"/>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bCs/>
          <w:sz w:val="32"/>
          <w:szCs w:val="32"/>
        </w:rPr>
        <w:t>全年农林牧渔业</w:t>
      </w:r>
      <w:r>
        <w:rPr>
          <w:rFonts w:hint="eastAsia" w:ascii="仿宋_GB2312" w:hAnsi="仿宋_GB2312" w:eastAsia="仿宋_GB2312"/>
          <w:bCs/>
          <w:sz w:val="32"/>
          <w:szCs w:val="32"/>
          <w:lang w:eastAsia="zh-CN"/>
        </w:rPr>
        <w:t>总产值</w:t>
      </w:r>
      <w:r>
        <w:rPr>
          <w:rFonts w:hint="eastAsia" w:ascii="仿宋_GB2312" w:hAnsi="仿宋_GB2312" w:eastAsia="仿宋_GB2312"/>
          <w:bCs/>
          <w:color w:val="auto"/>
          <w:sz w:val="32"/>
          <w:szCs w:val="32"/>
          <w:lang w:val="en-US" w:eastAsia="zh-CN"/>
        </w:rPr>
        <w:t>58.87</w:t>
      </w:r>
      <w:r>
        <w:rPr>
          <w:rFonts w:hint="eastAsia" w:ascii="仿宋_GB2312" w:hAnsi="仿宋_GB2312" w:eastAsia="仿宋_GB2312"/>
          <w:bCs/>
          <w:sz w:val="32"/>
          <w:szCs w:val="32"/>
          <w:lang w:val="en-US" w:eastAsia="zh-CN"/>
        </w:rPr>
        <w:t>亿元，同比增长</w:t>
      </w:r>
      <w:r>
        <w:rPr>
          <w:rFonts w:hint="eastAsia" w:ascii="仿宋_GB2312" w:hAnsi="仿宋_GB2312" w:eastAsia="仿宋_GB2312"/>
          <w:bCs/>
          <w:color w:val="auto"/>
          <w:sz w:val="32"/>
          <w:szCs w:val="32"/>
          <w:lang w:val="en-US" w:eastAsia="zh-CN"/>
        </w:rPr>
        <w:t>6.8</w:t>
      </w:r>
      <w:r>
        <w:rPr>
          <w:rFonts w:hint="eastAsia" w:ascii="仿宋_GB2312" w:hAnsi="仿宋_GB2312" w:eastAsia="仿宋_GB2312"/>
          <w:bCs/>
          <w:sz w:val="32"/>
          <w:szCs w:val="32"/>
          <w:lang w:val="en-US" w:eastAsia="zh-CN"/>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全县实现农林牧渔业增加值</w:t>
      </w:r>
      <w:r>
        <w:rPr>
          <w:rFonts w:hint="eastAsia" w:ascii="仿宋_GB2312" w:hAnsi="仿宋_GB2312" w:eastAsia="仿宋_GB2312" w:cs="仿宋_GB2312"/>
          <w:i w:val="0"/>
          <w:caps w:val="0"/>
          <w:color w:val="auto"/>
          <w:spacing w:val="0"/>
          <w:sz w:val="32"/>
          <w:szCs w:val="32"/>
          <w:shd w:val="clear" w:fill="FFFFFF"/>
          <w:lang w:val="en-US" w:eastAsia="zh-CN"/>
        </w:rPr>
        <w:t>33.60</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亿元，</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同比</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增长</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5.6</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bCs/>
          <w:sz w:val="32"/>
          <w:szCs w:val="32"/>
        </w:rPr>
      </w:pPr>
      <w:r>
        <w:rPr>
          <w:rFonts w:hint="eastAsia" w:ascii="仿宋_GB2312" w:hAnsi="仿宋_GB2312" w:eastAsia="仿宋_GB2312" w:cs="仿宋_GB2312"/>
          <w:kern w:val="0"/>
          <w:sz w:val="32"/>
          <w:szCs w:val="32"/>
        </w:rPr>
        <w:t>全</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农林渔牧业增加值</w:t>
      </w:r>
      <w:r>
        <w:rPr>
          <w:rFonts w:hint="eastAsia" w:ascii="仿宋_GB2312" w:hAnsi="仿宋_GB2312" w:eastAsia="仿宋_GB2312" w:cs="仿宋_GB2312"/>
          <w:kern w:val="0"/>
          <w:sz w:val="32"/>
          <w:szCs w:val="32"/>
          <w:lang w:eastAsia="zh-CN"/>
        </w:rPr>
        <w:t>情况：</w:t>
      </w:r>
    </w:p>
    <w:tbl>
      <w:tblPr>
        <w:tblStyle w:val="5"/>
        <w:tblW w:w="8346"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
      <w:tblGrid>
        <w:gridCol w:w="2406"/>
        <w:gridCol w:w="1710"/>
        <w:gridCol w:w="1230"/>
        <w:gridCol w:w="300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340" w:hRule="exact"/>
        </w:trPr>
        <w:tc>
          <w:tcPr>
            <w:tcW w:w="2406" w:type="dxa"/>
            <w:vMerge w:val="restar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指标名称</w:t>
            </w:r>
          </w:p>
        </w:tc>
        <w:tc>
          <w:tcPr>
            <w:tcW w:w="1710" w:type="dxa"/>
            <w:vMerge w:val="restar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绝对值（亿元）</w:t>
            </w:r>
          </w:p>
        </w:tc>
        <w:tc>
          <w:tcPr>
            <w:tcW w:w="1230" w:type="dxa"/>
            <w:vMerge w:val="restar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增长（%）</w:t>
            </w:r>
          </w:p>
        </w:tc>
        <w:tc>
          <w:tcPr>
            <w:tcW w:w="3000" w:type="dxa"/>
            <w:vMerge w:val="restar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占农林牧渔业增加值比重（%）</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312" w:hRule="exact"/>
        </w:trPr>
        <w:tc>
          <w:tcPr>
            <w:tcW w:w="24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7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2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30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340" w:hRule="exact"/>
        </w:trPr>
        <w:tc>
          <w:tcPr>
            <w:tcW w:w="24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农林牧渔业增加值</w:t>
            </w:r>
          </w:p>
        </w:tc>
        <w:tc>
          <w:tcPr>
            <w:tcW w:w="1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33.</w:t>
            </w:r>
            <w:r>
              <w:rPr>
                <w:rFonts w:hint="eastAsia" w:ascii="宋体" w:hAnsi="宋体" w:cs="宋体"/>
                <w:i w:val="0"/>
                <w:color w:val="auto"/>
                <w:kern w:val="0"/>
                <w:sz w:val="20"/>
                <w:szCs w:val="20"/>
                <w:u w:val="none"/>
                <w:lang w:val="en-US" w:eastAsia="zh-CN" w:bidi="ar"/>
              </w:rPr>
              <w:t>60</w:t>
            </w:r>
          </w:p>
        </w:tc>
        <w:tc>
          <w:tcPr>
            <w:tcW w:w="12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5.6</w:t>
            </w:r>
          </w:p>
        </w:tc>
        <w:tc>
          <w:tcPr>
            <w:tcW w:w="3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340" w:hRule="exact"/>
        </w:trPr>
        <w:tc>
          <w:tcPr>
            <w:tcW w:w="24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#种植业</w:t>
            </w:r>
          </w:p>
        </w:tc>
        <w:tc>
          <w:tcPr>
            <w:tcW w:w="1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20.99</w:t>
            </w:r>
          </w:p>
        </w:tc>
        <w:tc>
          <w:tcPr>
            <w:tcW w:w="12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8.2</w:t>
            </w:r>
          </w:p>
        </w:tc>
        <w:tc>
          <w:tcPr>
            <w:tcW w:w="3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62.5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340" w:hRule="exact"/>
        </w:trPr>
        <w:tc>
          <w:tcPr>
            <w:tcW w:w="24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林  业</w:t>
            </w:r>
          </w:p>
        </w:tc>
        <w:tc>
          <w:tcPr>
            <w:tcW w:w="1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0.75</w:t>
            </w:r>
          </w:p>
        </w:tc>
        <w:tc>
          <w:tcPr>
            <w:tcW w:w="12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7.3</w:t>
            </w:r>
          </w:p>
        </w:tc>
        <w:tc>
          <w:tcPr>
            <w:tcW w:w="3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2.</w:t>
            </w:r>
            <w:r>
              <w:rPr>
                <w:rFonts w:hint="eastAsia" w:ascii="宋体" w:hAnsi="宋体" w:cs="宋体"/>
                <w:i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340" w:hRule="exact"/>
        </w:trPr>
        <w:tc>
          <w:tcPr>
            <w:tcW w:w="24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畜牧业</w:t>
            </w:r>
          </w:p>
        </w:tc>
        <w:tc>
          <w:tcPr>
            <w:tcW w:w="1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1</w:t>
            </w:r>
            <w:r>
              <w:rPr>
                <w:rFonts w:hint="eastAsia" w:ascii="宋体" w:hAnsi="宋体" w:cs="宋体"/>
                <w:i w:val="0"/>
                <w:color w:val="auto"/>
                <w:kern w:val="0"/>
                <w:sz w:val="20"/>
                <w:szCs w:val="20"/>
                <w:u w:val="none"/>
                <w:lang w:val="en-US" w:eastAsia="zh-CN" w:bidi="ar"/>
              </w:rPr>
              <w:t>1</w:t>
            </w:r>
            <w:r>
              <w:rPr>
                <w:rFonts w:hint="eastAsia" w:ascii="宋体" w:hAnsi="宋体" w:eastAsia="宋体" w:cs="宋体"/>
                <w:i w:val="0"/>
                <w:color w:val="auto"/>
                <w:kern w:val="0"/>
                <w:sz w:val="20"/>
                <w:szCs w:val="20"/>
                <w:u w:val="none"/>
                <w:lang w:val="en-US" w:eastAsia="zh-CN" w:bidi="ar"/>
              </w:rPr>
              <w:t>.</w:t>
            </w:r>
            <w:r>
              <w:rPr>
                <w:rFonts w:hint="eastAsia" w:ascii="宋体" w:hAnsi="宋体" w:cs="宋体"/>
                <w:i w:val="0"/>
                <w:color w:val="auto"/>
                <w:kern w:val="0"/>
                <w:sz w:val="20"/>
                <w:szCs w:val="20"/>
                <w:u w:val="none"/>
                <w:lang w:val="en-US" w:eastAsia="zh-CN" w:bidi="ar"/>
              </w:rPr>
              <w:t>67</w:t>
            </w:r>
          </w:p>
        </w:tc>
        <w:tc>
          <w:tcPr>
            <w:tcW w:w="12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5.2</w:t>
            </w:r>
          </w:p>
        </w:tc>
        <w:tc>
          <w:tcPr>
            <w:tcW w:w="3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34.7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340" w:hRule="exact"/>
        </w:trPr>
        <w:tc>
          <w:tcPr>
            <w:tcW w:w="24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渔  业</w:t>
            </w:r>
          </w:p>
        </w:tc>
        <w:tc>
          <w:tcPr>
            <w:tcW w:w="1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0.11</w:t>
            </w:r>
          </w:p>
        </w:tc>
        <w:tc>
          <w:tcPr>
            <w:tcW w:w="12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0.04</w:t>
            </w:r>
          </w:p>
        </w:tc>
        <w:tc>
          <w:tcPr>
            <w:tcW w:w="3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0.3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340" w:hRule="exact"/>
        </w:trPr>
        <w:tc>
          <w:tcPr>
            <w:tcW w:w="2406"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农林牧渔服务业增加值</w:t>
            </w:r>
          </w:p>
        </w:tc>
        <w:tc>
          <w:tcPr>
            <w:tcW w:w="1710"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1.80</w:t>
            </w:r>
          </w:p>
        </w:tc>
        <w:tc>
          <w:tcPr>
            <w:tcW w:w="1230"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0.4</w:t>
            </w:r>
          </w:p>
        </w:tc>
        <w:tc>
          <w:tcPr>
            <w:tcW w:w="3000"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5.4</w:t>
            </w:r>
          </w:p>
        </w:tc>
      </w:tr>
    </w:tbl>
    <w:p>
      <w:pPr>
        <w:pStyle w:val="4"/>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全年种植业增加值</w:t>
      </w:r>
      <w:r>
        <w:rPr>
          <w:rFonts w:hint="eastAsia" w:ascii="仿宋_GB2312" w:hAnsi="仿宋_GB2312" w:eastAsia="仿宋_GB2312" w:cs="仿宋_GB2312"/>
          <w:color w:val="000000"/>
          <w:sz w:val="32"/>
          <w:szCs w:val="32"/>
          <w:lang w:val="en-US" w:eastAsia="zh-CN"/>
        </w:rPr>
        <w:t>20.99</w:t>
      </w:r>
      <w:r>
        <w:rPr>
          <w:rFonts w:hint="eastAsia" w:ascii="仿宋_GB2312" w:hAnsi="仿宋_GB2312" w:eastAsia="仿宋_GB2312" w:cs="仿宋_GB2312"/>
          <w:color w:val="000000"/>
          <w:sz w:val="32"/>
          <w:szCs w:val="32"/>
        </w:rPr>
        <w:t>亿元，比上年增长</w:t>
      </w:r>
      <w:r>
        <w:rPr>
          <w:rFonts w:hint="eastAsia" w:ascii="仿宋_GB2312" w:hAnsi="仿宋_GB2312" w:eastAsia="仿宋_GB2312" w:cs="仿宋_GB2312"/>
          <w:color w:val="000000"/>
          <w:sz w:val="32"/>
          <w:szCs w:val="32"/>
          <w:lang w:val="en-US" w:eastAsia="zh-CN"/>
        </w:rPr>
        <w:t>8.2</w:t>
      </w:r>
      <w:r>
        <w:rPr>
          <w:rFonts w:hint="eastAsia" w:ascii="仿宋_GB2312" w:hAnsi="仿宋_GB2312" w:eastAsia="仿宋_GB2312" w:cs="仿宋_GB2312"/>
          <w:color w:val="000000"/>
          <w:sz w:val="32"/>
          <w:szCs w:val="32"/>
        </w:rPr>
        <w:t>%。粮食种植面积</w:t>
      </w:r>
      <w:r>
        <w:rPr>
          <w:rFonts w:hint="eastAsia" w:ascii="仿宋_GB2312" w:hAnsi="仿宋_GB2312" w:eastAsia="仿宋_GB2312" w:cs="仿宋_GB2312"/>
          <w:color w:val="000000"/>
          <w:sz w:val="32"/>
          <w:szCs w:val="32"/>
          <w:lang w:val="en-US" w:eastAsia="zh-CN"/>
        </w:rPr>
        <w:t>109.79</w:t>
      </w:r>
      <w:r>
        <w:rPr>
          <w:rFonts w:hint="eastAsia" w:ascii="仿宋_GB2312" w:hAnsi="仿宋_GB2312" w:eastAsia="仿宋_GB2312" w:cs="仿宋_GB2312"/>
          <w:color w:val="000000"/>
          <w:sz w:val="32"/>
          <w:szCs w:val="32"/>
        </w:rPr>
        <w:t>万亩，比上年下降</w:t>
      </w:r>
      <w:r>
        <w:rPr>
          <w:rFonts w:hint="eastAsia" w:ascii="仿宋_GB2312" w:hAnsi="仿宋_GB2312" w:eastAsia="仿宋_GB2312" w:cs="仿宋_GB2312"/>
          <w:color w:val="auto"/>
          <w:sz w:val="32"/>
          <w:szCs w:val="32"/>
          <w:lang w:val="en-US" w:eastAsia="zh-CN"/>
        </w:rPr>
        <w:t>1.10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rPr>
        <w:t>。玉米种植面积</w:t>
      </w:r>
      <w:r>
        <w:rPr>
          <w:rFonts w:hint="eastAsia" w:ascii="仿宋_GB2312" w:hAnsi="仿宋_GB2312" w:eastAsia="仿宋_GB2312" w:cs="仿宋_GB2312"/>
          <w:color w:val="000000"/>
          <w:sz w:val="32"/>
          <w:szCs w:val="32"/>
          <w:lang w:eastAsia="zh-CN"/>
        </w:rPr>
        <w:t>大幅</w:t>
      </w:r>
      <w:r>
        <w:rPr>
          <w:rFonts w:hint="eastAsia" w:ascii="仿宋_GB2312" w:hAnsi="仿宋_GB2312" w:eastAsia="仿宋_GB2312" w:cs="仿宋_GB2312"/>
          <w:color w:val="000000"/>
          <w:sz w:val="32"/>
          <w:szCs w:val="32"/>
        </w:rPr>
        <w:t>调减</w:t>
      </w:r>
      <w:r>
        <w:rPr>
          <w:rFonts w:hint="eastAsia" w:ascii="仿宋_GB2312" w:hAnsi="仿宋_GB2312" w:eastAsia="仿宋_GB2312" w:cs="仿宋_GB2312"/>
          <w:color w:val="000000"/>
          <w:sz w:val="32"/>
          <w:szCs w:val="32"/>
          <w:lang w:val="en-US" w:eastAsia="zh-CN"/>
        </w:rPr>
        <w:t>7.23万亩</w:t>
      </w:r>
      <w:r>
        <w:rPr>
          <w:rFonts w:hint="eastAsia" w:ascii="仿宋_GB2312" w:hAnsi="仿宋_GB2312" w:eastAsia="仿宋_GB2312" w:cs="仿宋_GB2312"/>
          <w:color w:val="000000"/>
          <w:sz w:val="32"/>
          <w:szCs w:val="32"/>
        </w:rPr>
        <w:t>，经济作物种植面积</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lang w:val="en-US" w:eastAsia="zh-CN"/>
        </w:rPr>
        <w:t>1.5万亩，达到61.38万亩</w:t>
      </w:r>
      <w:r>
        <w:rPr>
          <w:rFonts w:hint="eastAsia" w:ascii="仿宋_GB2312" w:hAnsi="仿宋_GB2312" w:eastAsia="仿宋_GB2312" w:cs="仿宋_GB2312"/>
          <w:color w:val="000000"/>
          <w:sz w:val="32"/>
          <w:szCs w:val="32"/>
        </w:rPr>
        <w:t>，蔬菜及食用菌种植面积</w:t>
      </w:r>
      <w:r>
        <w:rPr>
          <w:rFonts w:hint="eastAsia" w:ascii="仿宋_GB2312" w:hAnsi="仿宋_GB2312" w:eastAsia="仿宋_GB2312" w:cs="仿宋_GB2312"/>
          <w:color w:val="000000"/>
          <w:sz w:val="32"/>
          <w:szCs w:val="32"/>
          <w:lang w:val="en-US" w:eastAsia="zh-CN"/>
        </w:rPr>
        <w:t>35.11</w:t>
      </w:r>
      <w:r>
        <w:rPr>
          <w:rFonts w:hint="eastAsia" w:ascii="仿宋_GB2312" w:hAnsi="仿宋_GB2312" w:eastAsia="仿宋_GB2312" w:cs="仿宋_GB2312"/>
          <w:color w:val="000000"/>
          <w:sz w:val="32"/>
          <w:szCs w:val="32"/>
        </w:rPr>
        <w:t>万亩，</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lang w:val="en-US" w:eastAsia="zh-CN"/>
        </w:rPr>
        <w:t>3.54</w:t>
      </w:r>
      <w:r>
        <w:rPr>
          <w:rFonts w:hint="eastAsia" w:ascii="仿宋_GB2312" w:hAnsi="仿宋_GB2312" w:eastAsia="仿宋_GB2312" w:cs="仿宋_GB2312"/>
          <w:color w:val="000000"/>
          <w:sz w:val="32"/>
          <w:szCs w:val="32"/>
        </w:rPr>
        <w:t>%；年末实有果园面积</w:t>
      </w:r>
      <w:r>
        <w:rPr>
          <w:rFonts w:hint="eastAsia" w:ascii="仿宋_GB2312" w:hAnsi="仿宋_GB2312" w:eastAsia="仿宋_GB2312" w:cs="仿宋_GB2312"/>
          <w:color w:val="000000"/>
          <w:sz w:val="32"/>
          <w:szCs w:val="32"/>
          <w:lang w:val="en-US" w:eastAsia="zh-CN"/>
        </w:rPr>
        <w:t>10.79</w:t>
      </w:r>
      <w:r>
        <w:rPr>
          <w:rFonts w:hint="eastAsia" w:ascii="仿宋_GB2312" w:hAnsi="仿宋_GB2312" w:eastAsia="仿宋_GB2312" w:cs="仿宋_GB2312"/>
          <w:color w:val="000000"/>
          <w:sz w:val="32"/>
          <w:szCs w:val="32"/>
        </w:rPr>
        <w:t>万亩，增长</w:t>
      </w:r>
      <w:r>
        <w:rPr>
          <w:rFonts w:hint="eastAsia" w:ascii="仿宋_GB2312" w:hAnsi="仿宋_GB2312" w:eastAsia="仿宋_GB2312" w:cs="仿宋_GB2312"/>
          <w:color w:val="000000"/>
          <w:sz w:val="32"/>
          <w:szCs w:val="32"/>
          <w:lang w:val="en-US" w:eastAsia="zh-CN"/>
        </w:rPr>
        <w:t>9.9%</w:t>
      </w:r>
      <w:r>
        <w:rPr>
          <w:rFonts w:hint="eastAsia" w:ascii="仿宋_GB2312" w:hAnsi="仿宋_GB2312" w:eastAsia="仿宋_GB2312" w:cs="仿宋_GB2312"/>
          <w:color w:val="000000"/>
          <w:sz w:val="32"/>
          <w:szCs w:val="32"/>
        </w:rPr>
        <w:t>；中草药材种植面积</w:t>
      </w:r>
      <w:r>
        <w:rPr>
          <w:rFonts w:hint="eastAsia" w:ascii="仿宋_GB2312" w:hAnsi="仿宋_GB2312" w:eastAsia="仿宋_GB2312" w:cs="仿宋_GB2312"/>
          <w:color w:val="000000"/>
          <w:sz w:val="32"/>
          <w:szCs w:val="32"/>
          <w:lang w:val="en-US" w:eastAsia="zh-CN"/>
        </w:rPr>
        <w:t>5.92</w:t>
      </w:r>
      <w:r>
        <w:rPr>
          <w:rFonts w:hint="eastAsia" w:ascii="仿宋_GB2312" w:hAnsi="仿宋_GB2312" w:eastAsia="仿宋_GB2312" w:cs="仿宋_GB2312"/>
          <w:color w:val="000000"/>
          <w:sz w:val="32"/>
          <w:szCs w:val="32"/>
        </w:rPr>
        <w:t>万亩，增长</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80" w:firstLineChars="4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年粮食作物种植面积及其增长速度</w:t>
      </w:r>
      <w:r>
        <w:rPr>
          <w:rFonts w:hint="eastAsia" w:ascii="仿宋_GB2312" w:hAnsi="仿宋_GB2312" w:eastAsia="仿宋_GB2312" w:cs="仿宋_GB2312"/>
          <w:kern w:val="0"/>
          <w:sz w:val="32"/>
          <w:szCs w:val="32"/>
          <w:lang w:eastAsia="zh-CN"/>
        </w:rPr>
        <w:t>：</w:t>
      </w:r>
    </w:p>
    <w:tbl>
      <w:tblPr>
        <w:tblStyle w:val="5"/>
        <w:tblW w:w="8376" w:type="dxa"/>
        <w:tblInd w:w="0" w:type="dxa"/>
        <w:shd w:val="clear" w:color="auto" w:fill="auto"/>
        <w:tblLayout w:type="fixed"/>
        <w:tblCellMar>
          <w:top w:w="0" w:type="dxa"/>
          <w:left w:w="0" w:type="dxa"/>
          <w:bottom w:w="0" w:type="dxa"/>
          <w:right w:w="0" w:type="dxa"/>
        </w:tblCellMar>
      </w:tblPr>
      <w:tblGrid>
        <w:gridCol w:w="2796"/>
        <w:gridCol w:w="2805"/>
        <w:gridCol w:w="2775"/>
      </w:tblGrid>
      <w:tr>
        <w:tblPrEx>
          <w:shd w:val="clear" w:color="auto" w:fill="auto"/>
          <w:tblCellMar>
            <w:top w:w="0" w:type="dxa"/>
            <w:left w:w="0" w:type="dxa"/>
            <w:bottom w:w="0" w:type="dxa"/>
            <w:right w:w="0" w:type="dxa"/>
          </w:tblCellMar>
        </w:tblPrEx>
        <w:trPr>
          <w:trHeight w:val="340" w:hRule="exact"/>
        </w:trPr>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指标名称</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种植面积（万亩）</w:t>
            </w:r>
          </w:p>
        </w:tc>
        <w:tc>
          <w:tcPr>
            <w:tcW w:w="27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增长（%）</w:t>
            </w:r>
          </w:p>
        </w:tc>
      </w:tr>
      <w:tr>
        <w:tblPrEx>
          <w:tblCellMar>
            <w:top w:w="0" w:type="dxa"/>
            <w:left w:w="0" w:type="dxa"/>
            <w:bottom w:w="0" w:type="dxa"/>
            <w:right w:w="0" w:type="dxa"/>
          </w:tblCellMar>
        </w:tblPrEx>
        <w:trPr>
          <w:trHeight w:val="340" w:hRule="exact"/>
        </w:trPr>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粮食作物</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default" w:ascii="宋体" w:hAnsi="宋体" w:cs="宋体"/>
                <w:i w:val="0"/>
                <w:color w:val="000000"/>
                <w:kern w:val="0"/>
                <w:sz w:val="18"/>
                <w:szCs w:val="18"/>
                <w:u w:val="none"/>
                <w:lang w:val="en-US" w:eastAsia="zh-CN" w:bidi="ar"/>
              </w:rPr>
              <w:t xml:space="preserve">109.79 </w:t>
            </w:r>
          </w:p>
        </w:tc>
        <w:tc>
          <w:tcPr>
            <w:tcW w:w="27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-1.11</w:t>
            </w:r>
          </w:p>
        </w:tc>
      </w:tr>
      <w:tr>
        <w:tblPrEx>
          <w:tblCellMar>
            <w:top w:w="0" w:type="dxa"/>
            <w:left w:w="0" w:type="dxa"/>
            <w:bottom w:w="0" w:type="dxa"/>
            <w:right w:w="0" w:type="dxa"/>
          </w:tblCellMar>
        </w:tblPrEx>
        <w:trPr>
          <w:trHeight w:val="340" w:hRule="exact"/>
        </w:trPr>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一、谷物</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default" w:ascii="宋体" w:hAnsi="宋体" w:cs="宋体"/>
                <w:i w:val="0"/>
                <w:color w:val="000000"/>
                <w:kern w:val="0"/>
                <w:sz w:val="18"/>
                <w:szCs w:val="18"/>
                <w:u w:val="none"/>
                <w:lang w:val="en-US" w:eastAsia="zh-CN" w:bidi="ar"/>
              </w:rPr>
              <w:t xml:space="preserve">64.71 </w:t>
            </w:r>
          </w:p>
        </w:tc>
        <w:tc>
          <w:tcPr>
            <w:tcW w:w="27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1.72</w:t>
            </w:r>
          </w:p>
        </w:tc>
      </w:tr>
      <w:tr>
        <w:tblPrEx>
          <w:tblCellMar>
            <w:top w:w="0" w:type="dxa"/>
            <w:left w:w="0" w:type="dxa"/>
            <w:bottom w:w="0" w:type="dxa"/>
            <w:right w:w="0" w:type="dxa"/>
          </w:tblCellMar>
        </w:tblPrEx>
        <w:trPr>
          <w:trHeight w:val="340" w:hRule="exact"/>
        </w:trPr>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（一）稻谷</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default" w:ascii="宋体" w:hAnsi="宋体" w:cs="宋体"/>
                <w:i w:val="0"/>
                <w:color w:val="000000"/>
                <w:kern w:val="0"/>
                <w:sz w:val="18"/>
                <w:szCs w:val="18"/>
                <w:u w:val="none"/>
                <w:lang w:val="en-US" w:eastAsia="zh-CN" w:bidi="ar"/>
              </w:rPr>
              <w:t xml:space="preserve">15.20 </w:t>
            </w:r>
          </w:p>
        </w:tc>
        <w:tc>
          <w:tcPr>
            <w:tcW w:w="27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5.09</w:t>
            </w:r>
          </w:p>
        </w:tc>
      </w:tr>
      <w:tr>
        <w:tblPrEx>
          <w:tblCellMar>
            <w:top w:w="0" w:type="dxa"/>
            <w:left w:w="0" w:type="dxa"/>
            <w:bottom w:w="0" w:type="dxa"/>
            <w:right w:w="0" w:type="dxa"/>
          </w:tblCellMar>
        </w:tblPrEx>
        <w:trPr>
          <w:trHeight w:val="340" w:hRule="exact"/>
        </w:trPr>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（二）小麦</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default" w:ascii="宋体" w:hAnsi="宋体" w:cs="宋体"/>
                <w:i w:val="0"/>
                <w:color w:val="000000"/>
                <w:kern w:val="0"/>
                <w:sz w:val="18"/>
                <w:szCs w:val="18"/>
                <w:u w:val="none"/>
                <w:lang w:val="en-US" w:eastAsia="zh-CN" w:bidi="ar"/>
              </w:rPr>
              <w:t xml:space="preserve">10.05 </w:t>
            </w:r>
          </w:p>
        </w:tc>
        <w:tc>
          <w:tcPr>
            <w:tcW w:w="27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24.95</w:t>
            </w:r>
          </w:p>
        </w:tc>
      </w:tr>
      <w:tr>
        <w:tblPrEx>
          <w:tblCellMar>
            <w:top w:w="0" w:type="dxa"/>
            <w:left w:w="0" w:type="dxa"/>
            <w:bottom w:w="0" w:type="dxa"/>
            <w:right w:w="0" w:type="dxa"/>
          </w:tblCellMar>
        </w:tblPrEx>
        <w:trPr>
          <w:trHeight w:val="340" w:hRule="exact"/>
        </w:trPr>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（三）玉米</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default" w:ascii="宋体" w:hAnsi="宋体" w:cs="宋体"/>
                <w:i w:val="0"/>
                <w:color w:val="000000"/>
                <w:kern w:val="0"/>
                <w:sz w:val="18"/>
                <w:szCs w:val="18"/>
                <w:u w:val="none"/>
                <w:lang w:val="en-US" w:eastAsia="zh-CN" w:bidi="ar"/>
              </w:rPr>
              <w:t xml:space="preserve">7.36 </w:t>
            </w:r>
          </w:p>
        </w:tc>
        <w:tc>
          <w:tcPr>
            <w:tcW w:w="27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-49.58</w:t>
            </w:r>
          </w:p>
        </w:tc>
      </w:tr>
      <w:tr>
        <w:tblPrEx>
          <w:tblCellMar>
            <w:top w:w="0" w:type="dxa"/>
            <w:left w:w="0" w:type="dxa"/>
            <w:bottom w:w="0" w:type="dxa"/>
            <w:right w:w="0" w:type="dxa"/>
          </w:tblCellMar>
        </w:tblPrEx>
        <w:trPr>
          <w:trHeight w:val="340" w:hRule="exact"/>
        </w:trPr>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（四）其他谷物</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default" w:ascii="宋体" w:hAnsi="宋体" w:cs="宋体"/>
                <w:i w:val="0"/>
                <w:color w:val="000000"/>
                <w:kern w:val="0"/>
                <w:sz w:val="18"/>
                <w:szCs w:val="18"/>
                <w:u w:val="none"/>
                <w:lang w:val="en-US" w:eastAsia="zh-CN" w:bidi="ar"/>
              </w:rPr>
              <w:t xml:space="preserve">32.10 </w:t>
            </w:r>
          </w:p>
        </w:tc>
        <w:tc>
          <w:tcPr>
            <w:tcW w:w="27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21.07</w:t>
            </w:r>
          </w:p>
        </w:tc>
      </w:tr>
      <w:tr>
        <w:tblPrEx>
          <w:tblCellMar>
            <w:top w:w="0" w:type="dxa"/>
            <w:left w:w="0" w:type="dxa"/>
            <w:bottom w:w="0" w:type="dxa"/>
            <w:right w:w="0" w:type="dxa"/>
          </w:tblCellMar>
        </w:tblPrEx>
        <w:trPr>
          <w:trHeight w:val="340" w:hRule="exact"/>
        </w:trPr>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二、豆类</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default" w:ascii="宋体" w:hAnsi="宋体" w:cs="宋体"/>
                <w:i w:val="0"/>
                <w:color w:val="000000"/>
                <w:kern w:val="0"/>
                <w:sz w:val="18"/>
                <w:szCs w:val="18"/>
                <w:u w:val="none"/>
                <w:lang w:val="en-US" w:eastAsia="zh-CN" w:bidi="ar"/>
              </w:rPr>
              <w:t xml:space="preserve">8.74 </w:t>
            </w:r>
          </w:p>
        </w:tc>
        <w:tc>
          <w:tcPr>
            <w:tcW w:w="27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4.29</w:t>
            </w:r>
          </w:p>
        </w:tc>
      </w:tr>
      <w:tr>
        <w:tblPrEx>
          <w:tblCellMar>
            <w:top w:w="0" w:type="dxa"/>
            <w:left w:w="0" w:type="dxa"/>
            <w:bottom w:w="0" w:type="dxa"/>
            <w:right w:w="0" w:type="dxa"/>
          </w:tblCellMar>
        </w:tblPrEx>
        <w:trPr>
          <w:trHeight w:val="340" w:hRule="exact"/>
        </w:trPr>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（一）大豆</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default" w:ascii="宋体" w:hAnsi="宋体" w:cs="宋体"/>
                <w:i w:val="0"/>
                <w:color w:val="000000"/>
                <w:kern w:val="0"/>
                <w:sz w:val="18"/>
                <w:szCs w:val="18"/>
                <w:u w:val="none"/>
                <w:lang w:val="en-US" w:eastAsia="zh-CN" w:bidi="ar"/>
              </w:rPr>
              <w:t xml:space="preserve">6.44 </w:t>
            </w:r>
          </w:p>
        </w:tc>
        <w:tc>
          <w:tcPr>
            <w:tcW w:w="27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11.40</w:t>
            </w:r>
          </w:p>
        </w:tc>
      </w:tr>
      <w:tr>
        <w:tblPrEx>
          <w:tblCellMar>
            <w:top w:w="0" w:type="dxa"/>
            <w:left w:w="0" w:type="dxa"/>
            <w:bottom w:w="0" w:type="dxa"/>
            <w:right w:w="0" w:type="dxa"/>
          </w:tblCellMar>
        </w:tblPrEx>
        <w:trPr>
          <w:trHeight w:val="340" w:hRule="exact"/>
        </w:trPr>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（二）绿豆</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default" w:ascii="宋体" w:hAnsi="宋体" w:cs="宋体"/>
                <w:i w:val="0"/>
                <w:color w:val="000000"/>
                <w:kern w:val="0"/>
                <w:sz w:val="18"/>
                <w:szCs w:val="18"/>
                <w:u w:val="none"/>
                <w:lang w:val="en-US" w:eastAsia="zh-CN" w:bidi="ar"/>
              </w:rPr>
              <w:t xml:space="preserve">0.18 </w:t>
            </w:r>
          </w:p>
        </w:tc>
        <w:tc>
          <w:tcPr>
            <w:tcW w:w="27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-27.66</w:t>
            </w:r>
          </w:p>
        </w:tc>
      </w:tr>
      <w:tr>
        <w:tblPrEx>
          <w:tblCellMar>
            <w:top w:w="0" w:type="dxa"/>
            <w:left w:w="0" w:type="dxa"/>
            <w:bottom w:w="0" w:type="dxa"/>
            <w:right w:w="0" w:type="dxa"/>
          </w:tblCellMar>
        </w:tblPrEx>
        <w:trPr>
          <w:trHeight w:val="340" w:hRule="exact"/>
        </w:trPr>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（三）红小豆</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default" w:ascii="宋体" w:hAnsi="宋体" w:cs="宋体"/>
                <w:i w:val="0"/>
                <w:color w:val="000000"/>
                <w:kern w:val="0"/>
                <w:sz w:val="18"/>
                <w:szCs w:val="18"/>
                <w:u w:val="none"/>
                <w:lang w:val="en-US" w:eastAsia="zh-CN" w:bidi="ar"/>
              </w:rPr>
              <w:t xml:space="preserve">0.02 </w:t>
            </w:r>
          </w:p>
        </w:tc>
        <w:tc>
          <w:tcPr>
            <w:tcW w:w="27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6.57</w:t>
            </w:r>
          </w:p>
        </w:tc>
      </w:tr>
      <w:tr>
        <w:tblPrEx>
          <w:tblCellMar>
            <w:top w:w="0" w:type="dxa"/>
            <w:left w:w="0" w:type="dxa"/>
            <w:bottom w:w="0" w:type="dxa"/>
            <w:right w:w="0" w:type="dxa"/>
          </w:tblCellMar>
        </w:tblPrEx>
        <w:trPr>
          <w:trHeight w:val="340" w:hRule="exact"/>
        </w:trPr>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（四）其他杂豆</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default" w:ascii="宋体" w:hAnsi="宋体" w:cs="宋体"/>
                <w:i w:val="0"/>
                <w:color w:val="000000"/>
                <w:kern w:val="0"/>
                <w:sz w:val="18"/>
                <w:szCs w:val="18"/>
                <w:u w:val="none"/>
                <w:lang w:val="en-US" w:eastAsia="zh-CN" w:bidi="ar"/>
              </w:rPr>
              <w:t xml:space="preserve">2.09 </w:t>
            </w:r>
          </w:p>
        </w:tc>
        <w:tc>
          <w:tcPr>
            <w:tcW w:w="27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-9.98</w:t>
            </w:r>
          </w:p>
        </w:tc>
      </w:tr>
      <w:tr>
        <w:tblPrEx>
          <w:tblCellMar>
            <w:top w:w="0" w:type="dxa"/>
            <w:left w:w="0" w:type="dxa"/>
            <w:bottom w:w="0" w:type="dxa"/>
            <w:right w:w="0" w:type="dxa"/>
          </w:tblCellMar>
        </w:tblPrEx>
        <w:trPr>
          <w:trHeight w:val="340" w:hRule="exact"/>
        </w:trPr>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三、薯类（鲜薯）</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default" w:ascii="宋体" w:hAnsi="宋体" w:cs="宋体"/>
                <w:i w:val="0"/>
                <w:color w:val="000000"/>
                <w:kern w:val="0"/>
                <w:sz w:val="18"/>
                <w:szCs w:val="18"/>
                <w:u w:val="none"/>
                <w:lang w:val="en-US" w:eastAsia="zh-CN" w:bidi="ar"/>
              </w:rPr>
              <w:t xml:space="preserve">36.35 </w:t>
            </w:r>
          </w:p>
        </w:tc>
        <w:tc>
          <w:tcPr>
            <w:tcW w:w="27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-6.88</w:t>
            </w:r>
          </w:p>
        </w:tc>
      </w:tr>
      <w:tr>
        <w:tblPrEx>
          <w:tblCellMar>
            <w:top w:w="0" w:type="dxa"/>
            <w:left w:w="0" w:type="dxa"/>
            <w:bottom w:w="0" w:type="dxa"/>
            <w:right w:w="0" w:type="dxa"/>
          </w:tblCellMar>
        </w:tblPrEx>
        <w:trPr>
          <w:trHeight w:val="340" w:hRule="exact"/>
        </w:trPr>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（一）马铃薯</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default" w:ascii="宋体" w:hAnsi="宋体" w:cs="宋体"/>
                <w:i w:val="0"/>
                <w:color w:val="000000"/>
                <w:kern w:val="0"/>
                <w:sz w:val="18"/>
                <w:szCs w:val="18"/>
                <w:u w:val="none"/>
                <w:lang w:val="en-US" w:eastAsia="zh-CN" w:bidi="ar"/>
              </w:rPr>
              <w:t xml:space="preserve">26.81 </w:t>
            </w:r>
          </w:p>
        </w:tc>
        <w:tc>
          <w:tcPr>
            <w:tcW w:w="27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-7.87</w:t>
            </w:r>
          </w:p>
        </w:tc>
      </w:tr>
      <w:tr>
        <w:tblPrEx>
          <w:tblCellMar>
            <w:top w:w="0" w:type="dxa"/>
            <w:left w:w="0" w:type="dxa"/>
            <w:bottom w:w="0" w:type="dxa"/>
            <w:right w:w="0" w:type="dxa"/>
          </w:tblCellMar>
        </w:tblPrEx>
        <w:trPr>
          <w:trHeight w:val="340" w:hRule="exact"/>
        </w:trPr>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（二）甘  薯</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default" w:ascii="宋体" w:hAnsi="宋体" w:cs="宋体"/>
                <w:i w:val="0"/>
                <w:color w:val="000000"/>
                <w:kern w:val="0"/>
                <w:sz w:val="18"/>
                <w:szCs w:val="18"/>
                <w:u w:val="none"/>
                <w:lang w:val="en-US" w:eastAsia="zh-CN" w:bidi="ar"/>
              </w:rPr>
              <w:t xml:space="preserve">9.53 </w:t>
            </w:r>
          </w:p>
        </w:tc>
        <w:tc>
          <w:tcPr>
            <w:tcW w:w="27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-3.98</w:t>
            </w:r>
          </w:p>
        </w:tc>
      </w:tr>
    </w:tbl>
    <w:p>
      <w:pPr>
        <w:pStyle w:val="4"/>
        <w:keepNext w:val="0"/>
        <w:keepLines w:val="0"/>
        <w:pageBreakBefore w:val="0"/>
        <w:widowControl w:val="0"/>
        <w:kinsoku/>
        <w:wordWrap/>
        <w:overflowPunct/>
        <w:topLinePunct w:val="0"/>
        <w:autoSpaceDE/>
        <w:autoSpaceDN/>
        <w:bidi w:val="0"/>
        <w:adjustRightInd/>
        <w:snapToGrid/>
        <w:spacing w:before="0" w:line="360" w:lineRule="exact"/>
        <w:ind w:firstLine="560" w:firstLineChars="200"/>
        <w:textAlignment w:val="auto"/>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eastAsia="zh-CN"/>
        </w:rPr>
        <w:t>注：合计粮食产量其中薯类按5折1计算。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80" w:firstLineChars="4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年经济作物种植面积及其增长速度</w:t>
      </w:r>
      <w:r>
        <w:rPr>
          <w:rFonts w:hint="eastAsia" w:ascii="仿宋_GB2312" w:hAnsi="仿宋_GB2312" w:eastAsia="仿宋_GB2312" w:cs="仿宋_GB2312"/>
          <w:kern w:val="0"/>
          <w:sz w:val="32"/>
          <w:szCs w:val="32"/>
          <w:lang w:eastAsia="zh-CN"/>
        </w:rPr>
        <w:t>：</w:t>
      </w:r>
    </w:p>
    <w:tbl>
      <w:tblPr>
        <w:tblStyle w:val="5"/>
        <w:tblW w:w="8361"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2781"/>
        <w:gridCol w:w="2820"/>
        <w:gridCol w:w="276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40" w:hRule="exact"/>
        </w:trPr>
        <w:tc>
          <w:tcPr>
            <w:tcW w:w="278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指标名称</w:t>
            </w:r>
          </w:p>
        </w:tc>
        <w:tc>
          <w:tcPr>
            <w:tcW w:w="28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经济作物播种面积（万亩）</w:t>
            </w:r>
          </w:p>
        </w:tc>
        <w:tc>
          <w:tcPr>
            <w:tcW w:w="27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增长（%）</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8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经济作物</w:t>
            </w:r>
          </w:p>
        </w:tc>
        <w:tc>
          <w:tcPr>
            <w:tcW w:w="28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61.38</w:t>
            </w:r>
          </w:p>
        </w:tc>
        <w:tc>
          <w:tcPr>
            <w:tcW w:w="27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-2.38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8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一、油料</w:t>
            </w:r>
          </w:p>
        </w:tc>
        <w:tc>
          <w:tcPr>
            <w:tcW w:w="28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2</w:t>
            </w:r>
          </w:p>
        </w:tc>
        <w:tc>
          <w:tcPr>
            <w:tcW w:w="27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46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8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（一）花  生</w:t>
            </w:r>
          </w:p>
        </w:tc>
        <w:tc>
          <w:tcPr>
            <w:tcW w:w="28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0.63</w:t>
            </w:r>
          </w:p>
        </w:tc>
        <w:tc>
          <w:tcPr>
            <w:tcW w:w="27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0</w:t>
            </w:r>
            <w:r>
              <w:rPr>
                <w:rFonts w:hint="eastAsia" w:ascii="宋体" w:hAnsi="宋体" w:eastAsia="宋体" w:cs="宋体"/>
                <w:i w:val="0"/>
                <w:color w:val="000000"/>
                <w:kern w:val="0"/>
                <w:sz w:val="18"/>
                <w:szCs w:val="18"/>
                <w:u w:val="none"/>
                <w:lang w:val="en-US" w:eastAsia="zh-CN" w:bidi="ar"/>
              </w:rPr>
              <w:t>.7</w:t>
            </w:r>
            <w:r>
              <w:rPr>
                <w:rFonts w:hint="eastAsia" w:ascii="宋体" w:hAnsi="宋体" w:cs="宋体"/>
                <w:i w:val="0"/>
                <w:color w:val="000000"/>
                <w:kern w:val="0"/>
                <w:sz w:val="18"/>
                <w:szCs w:val="18"/>
                <w:u w:val="none"/>
                <w:lang w:val="en-US" w:eastAsia="zh-CN" w:bidi="ar"/>
              </w:rPr>
              <w:t>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8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（二）油菜籽</w:t>
            </w:r>
          </w:p>
        </w:tc>
        <w:tc>
          <w:tcPr>
            <w:tcW w:w="28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6.</w:t>
            </w:r>
            <w:r>
              <w:rPr>
                <w:rFonts w:hint="eastAsia" w:ascii="宋体" w:hAnsi="宋体" w:cs="宋体"/>
                <w:i w:val="0"/>
                <w:color w:val="000000"/>
                <w:kern w:val="0"/>
                <w:sz w:val="18"/>
                <w:szCs w:val="18"/>
                <w:u w:val="none"/>
                <w:lang w:val="en-US" w:eastAsia="zh-CN" w:bidi="ar"/>
              </w:rPr>
              <w:t>54</w:t>
            </w:r>
          </w:p>
        </w:tc>
        <w:tc>
          <w:tcPr>
            <w:tcW w:w="27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51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8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二、糖料</w:t>
            </w:r>
          </w:p>
        </w:tc>
        <w:tc>
          <w:tcPr>
            <w:tcW w:w="28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r>
              <w:rPr>
                <w:rFonts w:hint="eastAsia" w:ascii="宋体" w:hAnsi="宋体" w:cs="宋体"/>
                <w:i w:val="0"/>
                <w:color w:val="000000"/>
                <w:kern w:val="0"/>
                <w:sz w:val="18"/>
                <w:szCs w:val="18"/>
                <w:u w:val="none"/>
                <w:lang w:val="en-US" w:eastAsia="zh-CN" w:bidi="ar"/>
              </w:rPr>
              <w:t>29</w:t>
            </w:r>
          </w:p>
        </w:tc>
        <w:tc>
          <w:tcPr>
            <w:tcW w:w="27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-22.12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8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（一）甘  蔗</w:t>
            </w:r>
          </w:p>
        </w:tc>
        <w:tc>
          <w:tcPr>
            <w:tcW w:w="28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0.</w:t>
            </w:r>
            <w:r>
              <w:rPr>
                <w:rFonts w:hint="eastAsia" w:ascii="宋体" w:hAnsi="宋体" w:cs="宋体"/>
                <w:i w:val="0"/>
                <w:color w:val="000000"/>
                <w:kern w:val="0"/>
                <w:sz w:val="18"/>
                <w:szCs w:val="18"/>
                <w:u w:val="none"/>
                <w:lang w:val="en-US" w:eastAsia="zh-CN" w:bidi="ar"/>
              </w:rPr>
              <w:t>29</w:t>
            </w:r>
          </w:p>
        </w:tc>
        <w:tc>
          <w:tcPr>
            <w:tcW w:w="27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-22.12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8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三、烟叶（未加工烟草）</w:t>
            </w:r>
          </w:p>
        </w:tc>
        <w:tc>
          <w:tcPr>
            <w:tcW w:w="28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37</w:t>
            </w:r>
          </w:p>
        </w:tc>
        <w:tc>
          <w:tcPr>
            <w:tcW w:w="27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-26.05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8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其中：烤烟（未去梗烤烟叶）</w:t>
            </w:r>
          </w:p>
        </w:tc>
        <w:tc>
          <w:tcPr>
            <w:tcW w:w="28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0.91</w:t>
            </w:r>
          </w:p>
        </w:tc>
        <w:tc>
          <w:tcPr>
            <w:tcW w:w="27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-35.00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8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四、中草药材</w:t>
            </w:r>
          </w:p>
        </w:tc>
        <w:tc>
          <w:tcPr>
            <w:tcW w:w="28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5.</w:t>
            </w:r>
            <w:r>
              <w:rPr>
                <w:rFonts w:hint="eastAsia" w:ascii="宋体" w:hAnsi="宋体" w:cs="宋体"/>
                <w:i w:val="0"/>
                <w:color w:val="000000"/>
                <w:kern w:val="0"/>
                <w:sz w:val="18"/>
                <w:szCs w:val="18"/>
                <w:u w:val="none"/>
                <w:lang w:val="en-US" w:eastAsia="zh-CN" w:bidi="ar"/>
              </w:rPr>
              <w:t>92</w:t>
            </w:r>
          </w:p>
        </w:tc>
        <w:tc>
          <w:tcPr>
            <w:tcW w:w="27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3.41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34" w:hRule="exact"/>
        </w:trPr>
        <w:tc>
          <w:tcPr>
            <w:tcW w:w="278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五、蔬菜及食用菌</w:t>
            </w:r>
          </w:p>
        </w:tc>
        <w:tc>
          <w:tcPr>
            <w:tcW w:w="28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w:t>
            </w: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11</w:t>
            </w:r>
          </w:p>
        </w:tc>
        <w:tc>
          <w:tcPr>
            <w:tcW w:w="27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-3.54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8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六、瓜果类</w:t>
            </w:r>
          </w:p>
        </w:tc>
        <w:tc>
          <w:tcPr>
            <w:tcW w:w="28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2.5</w:t>
            </w:r>
            <w:r>
              <w:rPr>
                <w:rFonts w:hint="eastAsia" w:ascii="宋体" w:hAnsi="宋体" w:cs="宋体"/>
                <w:i w:val="0"/>
                <w:color w:val="000000"/>
                <w:kern w:val="0"/>
                <w:sz w:val="18"/>
                <w:szCs w:val="18"/>
                <w:u w:val="none"/>
                <w:lang w:val="en-US" w:eastAsia="zh-CN" w:bidi="ar"/>
              </w:rPr>
              <w:t>3</w:t>
            </w:r>
          </w:p>
        </w:tc>
        <w:tc>
          <w:tcPr>
            <w:tcW w:w="27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0.80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78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七、其他农作物</w:t>
            </w:r>
          </w:p>
        </w:tc>
        <w:tc>
          <w:tcPr>
            <w:tcW w:w="28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8.</w:t>
            </w:r>
            <w:r>
              <w:rPr>
                <w:rFonts w:hint="eastAsia" w:ascii="宋体" w:hAnsi="宋体" w:cs="宋体"/>
                <w:i w:val="0"/>
                <w:color w:val="000000"/>
                <w:kern w:val="0"/>
                <w:sz w:val="18"/>
                <w:szCs w:val="18"/>
                <w:u w:val="none"/>
                <w:lang w:val="en-US" w:eastAsia="zh-CN" w:bidi="ar"/>
              </w:rPr>
              <w:t>82</w:t>
            </w:r>
          </w:p>
        </w:tc>
        <w:tc>
          <w:tcPr>
            <w:tcW w:w="27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0.43</w:t>
            </w:r>
          </w:p>
        </w:tc>
      </w:tr>
    </w:tbl>
    <w:p>
      <w:pPr>
        <w:pStyle w:val="4"/>
        <w:keepNext w:val="0"/>
        <w:keepLines w:val="0"/>
        <w:pageBreakBefore w:val="0"/>
        <w:widowControl w:val="0"/>
        <w:kinsoku/>
        <w:wordWrap/>
        <w:overflowPunct/>
        <w:topLinePunct w:val="0"/>
        <w:autoSpaceDE/>
        <w:autoSpaceDN/>
        <w:bidi w:val="0"/>
        <w:adjustRightInd/>
        <w:snapToGrid/>
        <w:spacing w:before="0" w:line="54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全年粮食总产量</w:t>
      </w:r>
      <w:r>
        <w:rPr>
          <w:rFonts w:hint="eastAsia" w:ascii="仿宋_GB2312" w:hAnsi="仿宋_GB2312" w:eastAsia="仿宋_GB2312" w:cs="仿宋_GB2312"/>
          <w:color w:val="000000"/>
          <w:sz w:val="32"/>
          <w:szCs w:val="32"/>
          <w:lang w:val="en-US" w:eastAsia="zh-CN"/>
        </w:rPr>
        <w:t>23.1</w:t>
      </w:r>
      <w:r>
        <w:rPr>
          <w:rFonts w:hint="eastAsia" w:ascii="仿宋_GB2312" w:hAnsi="仿宋_GB2312" w:eastAsia="仿宋_GB2312" w:cs="仿宋_GB2312"/>
          <w:color w:val="000000"/>
          <w:sz w:val="32"/>
          <w:szCs w:val="32"/>
        </w:rPr>
        <w:t>万吨。其中，稻谷产量</w:t>
      </w:r>
      <w:r>
        <w:rPr>
          <w:rFonts w:hint="eastAsia" w:ascii="仿宋_GB2312" w:hAnsi="仿宋_GB2312" w:eastAsia="仿宋_GB2312" w:cs="仿宋_GB2312"/>
          <w:color w:val="000000"/>
          <w:sz w:val="32"/>
          <w:szCs w:val="32"/>
          <w:lang w:val="en-US" w:eastAsia="zh-CN"/>
        </w:rPr>
        <w:t>6.6</w:t>
      </w:r>
      <w:r>
        <w:rPr>
          <w:rFonts w:hint="eastAsia" w:ascii="仿宋_GB2312" w:hAnsi="仿宋_GB2312" w:eastAsia="仿宋_GB2312" w:cs="仿宋_GB2312"/>
          <w:color w:val="000000"/>
          <w:sz w:val="32"/>
          <w:szCs w:val="32"/>
        </w:rPr>
        <w:t>万吨；玉米产量</w:t>
      </w:r>
      <w:r>
        <w:rPr>
          <w:rFonts w:hint="eastAsia" w:ascii="仿宋_GB2312" w:hAnsi="仿宋_GB2312" w:eastAsia="仿宋_GB2312" w:cs="仿宋_GB2312"/>
          <w:color w:val="000000"/>
          <w:sz w:val="32"/>
          <w:szCs w:val="32"/>
          <w:lang w:val="en-US" w:eastAsia="zh-CN"/>
        </w:rPr>
        <w:t>2.77</w:t>
      </w:r>
      <w:r>
        <w:rPr>
          <w:rFonts w:hint="eastAsia" w:ascii="仿宋_GB2312" w:hAnsi="仿宋_GB2312" w:eastAsia="仿宋_GB2312" w:cs="仿宋_GB2312"/>
          <w:color w:val="000000"/>
          <w:sz w:val="32"/>
          <w:szCs w:val="32"/>
        </w:rPr>
        <w:t>万吨。主要经济作物中，蔬菜及食用菌产量</w:t>
      </w:r>
      <w:r>
        <w:rPr>
          <w:rFonts w:hint="eastAsia" w:ascii="仿宋_GB2312" w:hAnsi="仿宋_GB2312" w:eastAsia="仿宋_GB2312" w:cs="仿宋_GB2312"/>
          <w:color w:val="000000"/>
          <w:sz w:val="32"/>
          <w:szCs w:val="32"/>
          <w:lang w:val="en-US" w:eastAsia="zh-CN"/>
        </w:rPr>
        <w:t>34.51</w:t>
      </w:r>
      <w:r>
        <w:rPr>
          <w:rFonts w:hint="eastAsia" w:ascii="仿宋_GB2312" w:hAnsi="仿宋_GB2312" w:eastAsia="仿宋_GB2312" w:cs="仿宋_GB2312"/>
          <w:color w:val="000000"/>
          <w:sz w:val="32"/>
          <w:szCs w:val="32"/>
        </w:rPr>
        <w:t>万吨，比上年增长</w:t>
      </w:r>
      <w:r>
        <w:rPr>
          <w:rFonts w:hint="eastAsia" w:ascii="仿宋_GB2312" w:hAnsi="仿宋_GB2312" w:eastAsia="仿宋_GB2312" w:cs="仿宋_GB2312"/>
          <w:color w:val="000000"/>
          <w:sz w:val="32"/>
          <w:szCs w:val="32"/>
          <w:lang w:val="en-US" w:eastAsia="zh-CN"/>
        </w:rPr>
        <w:t>5.46</w:t>
      </w:r>
      <w:r>
        <w:rPr>
          <w:rFonts w:hint="eastAsia" w:ascii="仿宋_GB2312" w:hAnsi="仿宋_GB2312" w:eastAsia="仿宋_GB2312" w:cs="仿宋_GB2312"/>
          <w:color w:val="000000"/>
          <w:sz w:val="32"/>
          <w:szCs w:val="32"/>
        </w:rPr>
        <w:t>%；园林水果产量</w:t>
      </w:r>
      <w:r>
        <w:rPr>
          <w:rFonts w:hint="eastAsia" w:ascii="仿宋_GB2312" w:hAnsi="仿宋_GB2312" w:eastAsia="仿宋_GB2312" w:cs="仿宋_GB2312"/>
          <w:color w:val="000000"/>
          <w:sz w:val="32"/>
          <w:szCs w:val="32"/>
          <w:lang w:val="en-US" w:eastAsia="zh-CN"/>
        </w:rPr>
        <w:t>3.28</w:t>
      </w:r>
      <w:r>
        <w:rPr>
          <w:rFonts w:hint="eastAsia" w:ascii="仿宋_GB2312" w:hAnsi="仿宋_GB2312" w:eastAsia="仿宋_GB2312" w:cs="仿宋_GB2312"/>
          <w:color w:val="000000"/>
          <w:sz w:val="32"/>
          <w:szCs w:val="32"/>
        </w:rPr>
        <w:t>万吨，增长</w:t>
      </w:r>
      <w:r>
        <w:rPr>
          <w:rFonts w:hint="eastAsia" w:ascii="仿宋_GB2312" w:hAnsi="仿宋_GB2312" w:eastAsia="仿宋_GB2312" w:cs="仿宋_GB2312"/>
          <w:color w:val="000000"/>
          <w:sz w:val="32"/>
          <w:szCs w:val="32"/>
          <w:lang w:val="en-US" w:eastAsia="zh-CN"/>
        </w:rPr>
        <w:t>8.47</w:t>
      </w:r>
      <w:r>
        <w:rPr>
          <w:rFonts w:hint="eastAsia" w:ascii="仿宋_GB2312" w:hAnsi="仿宋_GB2312" w:eastAsia="仿宋_GB2312" w:cs="仿宋_GB2312"/>
          <w:color w:val="000000"/>
          <w:sz w:val="32"/>
          <w:szCs w:val="32"/>
        </w:rPr>
        <w:t>%；中药材产量</w:t>
      </w:r>
      <w:r>
        <w:rPr>
          <w:rFonts w:hint="eastAsia" w:ascii="仿宋_GB2312" w:hAnsi="仿宋_GB2312" w:eastAsia="仿宋_GB2312" w:cs="仿宋_GB2312"/>
          <w:color w:val="000000"/>
          <w:sz w:val="32"/>
          <w:szCs w:val="32"/>
          <w:lang w:val="en-US" w:eastAsia="zh-CN"/>
        </w:rPr>
        <w:t>0.51</w:t>
      </w:r>
      <w:r>
        <w:rPr>
          <w:rFonts w:hint="eastAsia" w:ascii="仿宋_GB2312" w:hAnsi="仿宋_GB2312" w:eastAsia="仿宋_GB2312" w:cs="仿宋_GB2312"/>
          <w:color w:val="000000"/>
          <w:sz w:val="32"/>
          <w:szCs w:val="32"/>
        </w:rPr>
        <w:t>万吨，增长</w:t>
      </w:r>
      <w:r>
        <w:rPr>
          <w:rFonts w:hint="eastAsia" w:ascii="仿宋_GB2312" w:hAnsi="仿宋_GB2312" w:eastAsia="仿宋_GB2312" w:cs="仿宋_GB2312"/>
          <w:color w:val="000000"/>
          <w:sz w:val="32"/>
          <w:szCs w:val="32"/>
          <w:lang w:val="en-US" w:eastAsia="zh-CN"/>
        </w:rPr>
        <w:t>3.6</w:t>
      </w:r>
      <w:r>
        <w:rPr>
          <w:rFonts w:hint="eastAsia" w:ascii="仿宋_GB2312" w:hAnsi="仿宋_GB2312" w:eastAsia="仿宋_GB2312" w:cs="仿宋_GB2312"/>
          <w:color w:val="000000"/>
          <w:sz w:val="32"/>
          <w:szCs w:val="32"/>
        </w:rPr>
        <w:t>%。</w:t>
      </w:r>
    </w:p>
    <w:p>
      <w:pPr>
        <w:pStyle w:val="4"/>
        <w:keepNext w:val="0"/>
        <w:keepLines w:val="0"/>
        <w:pageBreakBefore w:val="0"/>
        <w:widowControl w:val="0"/>
        <w:kinsoku/>
        <w:wordWrap/>
        <w:overflowPunct/>
        <w:topLinePunct w:val="0"/>
        <w:autoSpaceDE/>
        <w:autoSpaceDN/>
        <w:bidi w:val="0"/>
        <w:adjustRightInd/>
        <w:snapToGrid/>
        <w:spacing w:before="0" w:line="54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全年林业增加值</w:t>
      </w:r>
      <w:r>
        <w:rPr>
          <w:rFonts w:hint="eastAsia" w:ascii="仿宋_GB2312" w:hAnsi="仿宋_GB2312" w:eastAsia="仿宋_GB2312" w:cs="仿宋_GB2312"/>
          <w:color w:val="000000"/>
          <w:sz w:val="32"/>
          <w:szCs w:val="32"/>
          <w:lang w:val="en-US" w:eastAsia="zh-CN"/>
        </w:rPr>
        <w:t>0.75</w:t>
      </w:r>
      <w:r>
        <w:rPr>
          <w:rFonts w:hint="eastAsia" w:ascii="仿宋_GB2312" w:hAnsi="仿宋_GB2312" w:eastAsia="仿宋_GB2312" w:cs="仿宋_GB2312"/>
          <w:color w:val="000000"/>
          <w:sz w:val="32"/>
          <w:szCs w:val="32"/>
        </w:rPr>
        <w:t>亿元，比上年增长</w:t>
      </w:r>
      <w:r>
        <w:rPr>
          <w:rFonts w:hint="eastAsia" w:ascii="仿宋_GB2312" w:hAnsi="仿宋_GB2312" w:eastAsia="仿宋_GB2312" w:cs="仿宋_GB2312"/>
          <w:color w:val="000000"/>
          <w:sz w:val="32"/>
          <w:szCs w:val="32"/>
          <w:lang w:val="en-US" w:eastAsia="zh-CN"/>
        </w:rPr>
        <w:t>7.3</w:t>
      </w:r>
      <w:r>
        <w:rPr>
          <w:rFonts w:hint="eastAsia" w:ascii="仿宋_GB2312" w:hAnsi="仿宋_GB2312" w:eastAsia="仿宋_GB2312" w:cs="仿宋_GB2312"/>
          <w:color w:val="000000"/>
          <w:sz w:val="32"/>
          <w:szCs w:val="32"/>
        </w:rPr>
        <w:t>%。</w:t>
      </w:r>
    </w:p>
    <w:p>
      <w:pPr>
        <w:pStyle w:val="4"/>
        <w:keepNext w:val="0"/>
        <w:keepLines w:val="0"/>
        <w:pageBreakBefore w:val="0"/>
        <w:widowControl w:val="0"/>
        <w:kinsoku/>
        <w:wordWrap/>
        <w:overflowPunct/>
        <w:topLinePunct w:val="0"/>
        <w:autoSpaceDE/>
        <w:autoSpaceDN/>
        <w:bidi w:val="0"/>
        <w:adjustRightInd/>
        <w:snapToGrid/>
        <w:spacing w:before="0" w:line="54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全年畜牧业增加值</w:t>
      </w:r>
      <w:r>
        <w:rPr>
          <w:rFonts w:hint="eastAsia" w:ascii="仿宋_GB2312" w:hAnsi="仿宋_GB2312" w:eastAsia="仿宋_GB2312" w:cs="仿宋_GB2312"/>
          <w:color w:val="000000"/>
          <w:sz w:val="32"/>
          <w:szCs w:val="32"/>
          <w:lang w:val="en-US" w:eastAsia="zh-CN"/>
        </w:rPr>
        <w:t>11.67</w:t>
      </w:r>
      <w:r>
        <w:rPr>
          <w:rFonts w:hint="eastAsia" w:ascii="仿宋_GB2312" w:hAnsi="仿宋_GB2312" w:eastAsia="仿宋_GB2312" w:cs="仿宋_GB2312"/>
          <w:color w:val="000000"/>
          <w:sz w:val="32"/>
          <w:szCs w:val="32"/>
        </w:rPr>
        <w:t>亿元，比上年增长</w:t>
      </w:r>
      <w:r>
        <w:rPr>
          <w:rFonts w:hint="eastAsia" w:ascii="仿宋_GB2312" w:hAnsi="仿宋_GB2312" w:eastAsia="仿宋_GB2312" w:cs="仿宋_GB2312"/>
          <w:color w:val="000000"/>
          <w:sz w:val="32"/>
          <w:szCs w:val="32"/>
          <w:lang w:val="en-US" w:eastAsia="zh-CN"/>
        </w:rPr>
        <w:t>5.2</w:t>
      </w:r>
      <w:r>
        <w:rPr>
          <w:rFonts w:hint="eastAsia" w:ascii="仿宋_GB2312" w:hAnsi="仿宋_GB2312" w:eastAsia="仿宋_GB2312" w:cs="仿宋_GB2312"/>
          <w:color w:val="000000"/>
          <w:sz w:val="32"/>
          <w:szCs w:val="32"/>
        </w:rPr>
        <w:t>%。猪牛羊禽肉产量</w:t>
      </w:r>
      <w:r>
        <w:rPr>
          <w:rFonts w:hint="eastAsia" w:ascii="仿宋_GB2312" w:hAnsi="仿宋_GB2312" w:eastAsia="仿宋_GB2312" w:cs="仿宋_GB2312"/>
          <w:color w:val="000000"/>
          <w:sz w:val="32"/>
          <w:szCs w:val="32"/>
          <w:lang w:val="en-US" w:eastAsia="zh-CN"/>
        </w:rPr>
        <w:t>7.19</w:t>
      </w:r>
      <w:r>
        <w:rPr>
          <w:rFonts w:hint="eastAsia" w:ascii="仿宋_GB2312" w:hAnsi="仿宋_GB2312" w:eastAsia="仿宋_GB2312" w:cs="仿宋_GB2312"/>
          <w:color w:val="000000"/>
          <w:sz w:val="32"/>
          <w:szCs w:val="32"/>
        </w:rPr>
        <w:t>万吨，比上年</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lang w:val="en-US" w:eastAsia="zh-CN"/>
        </w:rPr>
        <w:t>8.95</w:t>
      </w:r>
      <w:r>
        <w:rPr>
          <w:rFonts w:hint="eastAsia" w:ascii="仿宋_GB2312" w:hAnsi="仿宋_GB2312" w:eastAsia="仿宋_GB2312" w:cs="仿宋_GB2312"/>
          <w:color w:val="000000"/>
          <w:sz w:val="32"/>
          <w:szCs w:val="32"/>
        </w:rPr>
        <w:t>%。年末猪存栏</w:t>
      </w:r>
      <w:r>
        <w:rPr>
          <w:rFonts w:hint="eastAsia" w:ascii="仿宋_GB2312" w:hAnsi="仿宋_GB2312" w:eastAsia="仿宋_GB2312" w:cs="仿宋_GB2312"/>
          <w:color w:val="000000"/>
          <w:sz w:val="32"/>
          <w:szCs w:val="32"/>
          <w:lang w:val="en-US" w:eastAsia="zh-CN"/>
        </w:rPr>
        <w:t>51.36</w:t>
      </w:r>
      <w:r>
        <w:rPr>
          <w:rFonts w:hint="eastAsia" w:ascii="仿宋_GB2312" w:hAnsi="仿宋_GB2312" w:eastAsia="仿宋_GB2312" w:cs="仿宋_GB2312"/>
          <w:color w:val="000000"/>
          <w:sz w:val="32"/>
          <w:szCs w:val="32"/>
        </w:rPr>
        <w:t>万头，比上年末下降</w:t>
      </w:r>
      <w:r>
        <w:rPr>
          <w:rFonts w:hint="eastAsia" w:ascii="仿宋_GB2312" w:hAnsi="仿宋_GB2312" w:eastAsia="仿宋_GB2312" w:cs="仿宋_GB2312"/>
          <w:color w:val="000000"/>
          <w:sz w:val="32"/>
          <w:szCs w:val="32"/>
          <w:lang w:val="en-US" w:eastAsia="zh-CN"/>
        </w:rPr>
        <w:t>12.94</w:t>
      </w:r>
      <w:r>
        <w:rPr>
          <w:rFonts w:hint="eastAsia" w:ascii="仿宋_GB2312" w:hAnsi="仿宋_GB2312" w:eastAsia="仿宋_GB2312" w:cs="仿宋_GB2312"/>
          <w:color w:val="000000"/>
          <w:sz w:val="32"/>
          <w:szCs w:val="32"/>
        </w:rPr>
        <w:t>%；牛存栏</w:t>
      </w:r>
      <w:r>
        <w:rPr>
          <w:rFonts w:hint="eastAsia" w:ascii="仿宋_GB2312" w:hAnsi="仿宋_GB2312" w:eastAsia="仿宋_GB2312" w:cs="仿宋_GB2312"/>
          <w:color w:val="000000"/>
          <w:sz w:val="32"/>
          <w:szCs w:val="32"/>
          <w:lang w:val="en-US" w:eastAsia="zh-CN"/>
        </w:rPr>
        <w:t>12.6</w:t>
      </w:r>
      <w:r>
        <w:rPr>
          <w:rFonts w:hint="eastAsia" w:ascii="仿宋_GB2312" w:hAnsi="仿宋_GB2312" w:eastAsia="仿宋_GB2312" w:cs="仿宋_GB2312"/>
          <w:color w:val="000000"/>
          <w:sz w:val="32"/>
          <w:szCs w:val="32"/>
        </w:rPr>
        <w:t>万头，下降</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%；羊存栏</w:t>
      </w:r>
      <w:r>
        <w:rPr>
          <w:rFonts w:hint="eastAsia" w:ascii="仿宋_GB2312" w:hAnsi="仿宋_GB2312" w:eastAsia="仿宋_GB2312" w:cs="仿宋_GB2312"/>
          <w:color w:val="000000"/>
          <w:sz w:val="32"/>
          <w:szCs w:val="32"/>
          <w:lang w:val="en-US" w:eastAsia="zh-CN"/>
        </w:rPr>
        <w:t>21.43</w:t>
      </w:r>
      <w:r>
        <w:rPr>
          <w:rFonts w:hint="eastAsia" w:ascii="仿宋_GB2312" w:hAnsi="仿宋_GB2312" w:eastAsia="仿宋_GB2312" w:cs="仿宋_GB2312"/>
          <w:color w:val="000000"/>
          <w:sz w:val="32"/>
          <w:szCs w:val="32"/>
        </w:rPr>
        <w:t>万只，</w:t>
      </w:r>
      <w:r>
        <w:rPr>
          <w:rFonts w:hint="eastAsia" w:ascii="仿宋_GB2312" w:hAnsi="仿宋_GB2312" w:eastAsia="仿宋_GB2312" w:cs="仿宋_GB2312"/>
          <w:color w:val="000000"/>
          <w:sz w:val="32"/>
          <w:szCs w:val="32"/>
          <w:lang w:eastAsia="zh-CN"/>
        </w:rPr>
        <w:t>下降</w:t>
      </w:r>
      <w:r>
        <w:rPr>
          <w:rFonts w:hint="eastAsia" w:ascii="仿宋_GB2312" w:hAnsi="仿宋_GB2312" w:eastAsia="仿宋_GB2312" w:cs="仿宋_GB2312"/>
          <w:color w:val="000000"/>
          <w:sz w:val="32"/>
          <w:szCs w:val="32"/>
          <w:lang w:val="en-US" w:eastAsia="zh-CN"/>
        </w:rPr>
        <w:t>9.16</w:t>
      </w:r>
      <w:r>
        <w:rPr>
          <w:rFonts w:hint="eastAsia" w:ascii="仿宋_GB2312" w:hAnsi="仿宋_GB2312" w:eastAsia="仿宋_GB2312" w:cs="仿宋_GB2312"/>
          <w:color w:val="000000"/>
          <w:sz w:val="32"/>
          <w:szCs w:val="32"/>
        </w:rPr>
        <w:t>%；家禽存栏</w:t>
      </w:r>
      <w:r>
        <w:rPr>
          <w:rFonts w:hint="eastAsia" w:ascii="仿宋_GB2312" w:hAnsi="仿宋_GB2312" w:eastAsia="仿宋_GB2312" w:cs="仿宋_GB2312"/>
          <w:color w:val="000000"/>
          <w:sz w:val="32"/>
          <w:szCs w:val="32"/>
          <w:lang w:val="en-US" w:eastAsia="zh-CN"/>
        </w:rPr>
        <w:t>190.27</w:t>
      </w:r>
      <w:r>
        <w:rPr>
          <w:rFonts w:hint="eastAsia" w:ascii="仿宋_GB2312" w:hAnsi="仿宋_GB2312" w:eastAsia="仿宋_GB2312" w:cs="仿宋_GB2312"/>
          <w:color w:val="000000"/>
          <w:sz w:val="32"/>
          <w:szCs w:val="32"/>
        </w:rPr>
        <w:t>万羽，</w:t>
      </w:r>
      <w:r>
        <w:rPr>
          <w:rFonts w:hint="eastAsia" w:ascii="仿宋_GB2312" w:hAnsi="仿宋_GB2312" w:eastAsia="仿宋_GB2312" w:cs="仿宋_GB2312"/>
          <w:color w:val="000000"/>
          <w:sz w:val="32"/>
          <w:szCs w:val="32"/>
          <w:lang w:eastAsia="zh-CN"/>
        </w:rPr>
        <w:t>下降</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%。全年猪出栏</w:t>
      </w:r>
      <w:r>
        <w:rPr>
          <w:rFonts w:hint="eastAsia" w:ascii="仿宋_GB2312" w:hAnsi="仿宋_GB2312" w:eastAsia="仿宋_GB2312" w:cs="仿宋_GB2312"/>
          <w:color w:val="000000"/>
          <w:sz w:val="32"/>
          <w:szCs w:val="32"/>
          <w:lang w:val="en-US" w:eastAsia="zh-CN"/>
        </w:rPr>
        <w:t>63.59</w:t>
      </w:r>
      <w:r>
        <w:rPr>
          <w:rFonts w:hint="eastAsia" w:ascii="仿宋_GB2312" w:hAnsi="仿宋_GB2312" w:eastAsia="仿宋_GB2312" w:cs="仿宋_GB2312"/>
          <w:color w:val="000000"/>
          <w:sz w:val="32"/>
          <w:szCs w:val="32"/>
        </w:rPr>
        <w:t>万头，比上年</w:t>
      </w:r>
      <w:r>
        <w:rPr>
          <w:rFonts w:hint="eastAsia" w:ascii="仿宋_GB2312" w:hAnsi="仿宋_GB2312" w:eastAsia="仿宋_GB2312" w:cs="仿宋_GB2312"/>
          <w:color w:val="000000"/>
          <w:sz w:val="32"/>
          <w:szCs w:val="32"/>
          <w:lang w:eastAsia="zh-CN"/>
        </w:rPr>
        <w:t>下降</w:t>
      </w:r>
      <w:r>
        <w:rPr>
          <w:rFonts w:hint="eastAsia" w:ascii="仿宋_GB2312" w:hAnsi="仿宋_GB2312" w:eastAsia="仿宋_GB2312" w:cs="仿宋_GB2312"/>
          <w:color w:val="000000"/>
          <w:sz w:val="32"/>
          <w:szCs w:val="32"/>
          <w:lang w:val="en-US" w:eastAsia="zh-CN"/>
        </w:rPr>
        <w:t>12.29</w:t>
      </w:r>
      <w:r>
        <w:rPr>
          <w:rFonts w:hint="eastAsia" w:ascii="仿宋_GB2312" w:hAnsi="仿宋_GB2312" w:eastAsia="仿宋_GB2312" w:cs="仿宋_GB2312"/>
          <w:color w:val="000000"/>
          <w:sz w:val="32"/>
          <w:szCs w:val="32"/>
        </w:rPr>
        <w:t>%；牛出栏</w:t>
      </w:r>
      <w:r>
        <w:rPr>
          <w:rFonts w:hint="eastAsia" w:ascii="仿宋_GB2312" w:hAnsi="仿宋_GB2312" w:eastAsia="仿宋_GB2312" w:cs="仿宋_GB2312"/>
          <w:color w:val="000000"/>
          <w:sz w:val="32"/>
          <w:szCs w:val="32"/>
          <w:lang w:val="en-US" w:eastAsia="zh-CN"/>
        </w:rPr>
        <w:t>4.85</w:t>
      </w:r>
      <w:r>
        <w:rPr>
          <w:rFonts w:hint="eastAsia" w:ascii="仿宋_GB2312" w:hAnsi="仿宋_GB2312" w:eastAsia="仿宋_GB2312" w:cs="仿宋_GB2312"/>
          <w:color w:val="000000"/>
          <w:sz w:val="32"/>
          <w:szCs w:val="32"/>
        </w:rPr>
        <w:t>万头，增长</w:t>
      </w:r>
      <w:r>
        <w:rPr>
          <w:rFonts w:hint="eastAsia" w:ascii="仿宋_GB2312" w:hAnsi="仿宋_GB2312" w:eastAsia="仿宋_GB2312" w:cs="仿宋_GB2312"/>
          <w:color w:val="000000"/>
          <w:sz w:val="32"/>
          <w:szCs w:val="32"/>
          <w:lang w:val="en-US" w:eastAsia="zh-CN"/>
        </w:rPr>
        <w:t>10.49</w:t>
      </w:r>
      <w:r>
        <w:rPr>
          <w:rFonts w:hint="eastAsia" w:ascii="仿宋_GB2312" w:hAnsi="仿宋_GB2312" w:eastAsia="仿宋_GB2312" w:cs="仿宋_GB2312"/>
          <w:color w:val="000000"/>
          <w:sz w:val="32"/>
          <w:szCs w:val="32"/>
        </w:rPr>
        <w:t>%；羊出栏</w:t>
      </w:r>
      <w:r>
        <w:rPr>
          <w:rFonts w:hint="eastAsia" w:ascii="仿宋_GB2312" w:hAnsi="仿宋_GB2312" w:eastAsia="仿宋_GB2312" w:cs="仿宋_GB2312"/>
          <w:color w:val="000000"/>
          <w:sz w:val="32"/>
          <w:szCs w:val="32"/>
          <w:lang w:val="en-US" w:eastAsia="zh-CN"/>
        </w:rPr>
        <w:t>17.48</w:t>
      </w:r>
      <w:r>
        <w:rPr>
          <w:rFonts w:hint="eastAsia" w:ascii="仿宋_GB2312" w:hAnsi="仿宋_GB2312" w:eastAsia="仿宋_GB2312" w:cs="仿宋_GB2312"/>
          <w:color w:val="000000"/>
          <w:sz w:val="32"/>
          <w:szCs w:val="32"/>
        </w:rPr>
        <w:t>万只，增长</w:t>
      </w:r>
      <w:r>
        <w:rPr>
          <w:rFonts w:hint="eastAsia" w:ascii="仿宋_GB2312" w:hAnsi="仿宋_GB2312" w:eastAsia="仿宋_GB2312" w:cs="仿宋_GB2312"/>
          <w:color w:val="000000"/>
          <w:sz w:val="32"/>
          <w:szCs w:val="32"/>
          <w:lang w:val="en-US" w:eastAsia="zh-CN"/>
        </w:rPr>
        <w:t>-0.11</w:t>
      </w:r>
      <w:r>
        <w:rPr>
          <w:rFonts w:hint="eastAsia" w:ascii="仿宋_GB2312" w:hAnsi="仿宋_GB2312" w:eastAsia="仿宋_GB2312" w:cs="仿宋_GB2312"/>
          <w:color w:val="000000"/>
          <w:sz w:val="32"/>
          <w:szCs w:val="32"/>
        </w:rPr>
        <w:t>%；家禽出栏</w:t>
      </w:r>
      <w:r>
        <w:rPr>
          <w:rFonts w:hint="eastAsia" w:ascii="仿宋_GB2312" w:hAnsi="仿宋_GB2312" w:eastAsia="仿宋_GB2312" w:cs="仿宋_GB2312"/>
          <w:color w:val="000000"/>
          <w:sz w:val="32"/>
          <w:szCs w:val="32"/>
          <w:lang w:val="en-US" w:eastAsia="zh-CN"/>
        </w:rPr>
        <w:t>234.84</w:t>
      </w:r>
      <w:r>
        <w:rPr>
          <w:rFonts w:hint="eastAsia" w:ascii="仿宋_GB2312" w:hAnsi="仿宋_GB2312" w:eastAsia="仿宋_GB2312" w:cs="仿宋_GB2312"/>
          <w:color w:val="000000"/>
          <w:sz w:val="32"/>
          <w:szCs w:val="32"/>
        </w:rPr>
        <w:t>万羽，</w:t>
      </w:r>
      <w:r>
        <w:rPr>
          <w:rFonts w:hint="eastAsia" w:ascii="仿宋_GB2312" w:hAnsi="仿宋_GB2312" w:eastAsia="仿宋_GB2312" w:cs="仿宋_GB2312"/>
          <w:color w:val="000000"/>
          <w:sz w:val="32"/>
          <w:szCs w:val="32"/>
          <w:lang w:eastAsia="zh-CN"/>
        </w:rPr>
        <w:t>增长</w:t>
      </w:r>
      <w:r>
        <w:rPr>
          <w:rFonts w:hint="eastAsia" w:ascii="仿宋_GB2312" w:hAnsi="仿宋_GB2312" w:eastAsia="仿宋_GB2312" w:cs="仿宋_GB2312"/>
          <w:color w:val="000000"/>
          <w:sz w:val="32"/>
          <w:szCs w:val="32"/>
          <w:lang w:val="en-US" w:eastAsia="zh-CN"/>
        </w:rPr>
        <w:t>6.2</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全年渔业增加值</w:t>
      </w:r>
      <w:r>
        <w:rPr>
          <w:rFonts w:hint="eastAsia" w:ascii="仿宋_GB2312" w:hAnsi="仿宋_GB2312" w:eastAsia="仿宋_GB2312" w:cs="仿宋_GB2312"/>
          <w:color w:val="000000"/>
          <w:sz w:val="32"/>
          <w:szCs w:val="32"/>
          <w:lang w:val="en-US" w:eastAsia="zh-CN"/>
        </w:rPr>
        <w:t>0.11</w:t>
      </w:r>
      <w:r>
        <w:rPr>
          <w:rFonts w:hint="eastAsia" w:ascii="仿宋_GB2312" w:hAnsi="仿宋_GB2312" w:eastAsia="仿宋_GB2312" w:cs="仿宋_GB2312"/>
          <w:color w:val="000000"/>
          <w:sz w:val="32"/>
          <w:szCs w:val="32"/>
        </w:rPr>
        <w:t>亿元，</w:t>
      </w:r>
      <w:r>
        <w:rPr>
          <w:rFonts w:hint="eastAsia" w:ascii="仿宋_GB2312" w:hAnsi="仿宋_GB2312" w:eastAsia="仿宋_GB2312" w:cs="仿宋_GB2312"/>
          <w:color w:val="000000"/>
          <w:sz w:val="32"/>
          <w:szCs w:val="32"/>
          <w:lang w:eastAsia="zh-CN"/>
        </w:rPr>
        <w:t>增长</w:t>
      </w:r>
      <w:r>
        <w:rPr>
          <w:rFonts w:hint="eastAsia" w:ascii="仿宋_GB2312" w:hAnsi="仿宋_GB2312" w:eastAsia="仿宋_GB2312" w:cs="仿宋_GB2312"/>
          <w:color w:val="000000"/>
          <w:sz w:val="32"/>
          <w:szCs w:val="32"/>
          <w:lang w:val="en-US" w:eastAsia="zh-CN"/>
        </w:rPr>
        <w:t>0.04</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540" w:lineRule="exact"/>
        <w:ind w:firstLine="1600" w:firstLineChars="500"/>
        <w:textAlignment w:val="auto"/>
        <w:outlineLvl w:val="9"/>
        <w:rPr>
          <w:rFonts w:eastAsia="仿宋_GB2312"/>
          <w:color w:val="000000"/>
          <w:sz w:val="32"/>
          <w:szCs w:val="32"/>
        </w:rPr>
      </w:pP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rPr>
        <w:t>主要畜产品出栏和存栏情况：</w:t>
      </w:r>
    </w:p>
    <w:tbl>
      <w:tblPr>
        <w:tblStyle w:val="5"/>
        <w:tblW w:w="8316"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2166"/>
        <w:gridCol w:w="855"/>
        <w:gridCol w:w="1575"/>
        <w:gridCol w:w="1830"/>
        <w:gridCol w:w="189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40" w:hRule="exact"/>
        </w:trPr>
        <w:tc>
          <w:tcPr>
            <w:tcW w:w="216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指标名称</w:t>
            </w:r>
          </w:p>
        </w:tc>
        <w:tc>
          <w:tcPr>
            <w:tcW w:w="8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15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r>
              <w:rPr>
                <w:rFonts w:hint="eastAsia" w:ascii="宋体" w:hAnsi="宋体" w:cs="宋体"/>
                <w:i w:val="0"/>
                <w:color w:val="000000"/>
                <w:kern w:val="0"/>
                <w:sz w:val="20"/>
                <w:szCs w:val="20"/>
                <w:u w:val="none"/>
                <w:lang w:val="en-US" w:eastAsia="zh-CN" w:bidi="ar"/>
              </w:rPr>
              <w:t>9</w:t>
            </w:r>
            <w:r>
              <w:rPr>
                <w:rFonts w:hint="eastAsia" w:ascii="宋体" w:hAnsi="宋体" w:eastAsia="宋体" w:cs="宋体"/>
                <w:i w:val="0"/>
                <w:color w:val="000000"/>
                <w:kern w:val="0"/>
                <w:sz w:val="20"/>
                <w:szCs w:val="20"/>
                <w:u w:val="none"/>
                <w:lang w:val="en-US" w:eastAsia="zh-CN" w:bidi="ar"/>
              </w:rPr>
              <w:t>年</w:t>
            </w:r>
          </w:p>
        </w:tc>
        <w:tc>
          <w:tcPr>
            <w:tcW w:w="18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年</w:t>
            </w:r>
          </w:p>
        </w:tc>
        <w:tc>
          <w:tcPr>
            <w:tcW w:w="18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增长（%）</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6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一、畜禽存栏</w:t>
            </w:r>
          </w:p>
        </w:tc>
        <w:tc>
          <w:tcPr>
            <w:tcW w:w="8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5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6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猪</w:t>
            </w:r>
          </w:p>
        </w:tc>
        <w:tc>
          <w:tcPr>
            <w:tcW w:w="8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w:t>
            </w:r>
          </w:p>
        </w:tc>
        <w:tc>
          <w:tcPr>
            <w:tcW w:w="1575"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513600</w:t>
            </w:r>
          </w:p>
        </w:tc>
        <w:tc>
          <w:tcPr>
            <w:tcW w:w="18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590000</w:t>
            </w:r>
          </w:p>
        </w:tc>
        <w:tc>
          <w:tcPr>
            <w:tcW w:w="189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-12.</w:t>
            </w:r>
            <w:r>
              <w:rPr>
                <w:rFonts w:hint="eastAsia" w:ascii="宋体" w:hAnsi="宋体" w:eastAsia="宋体" w:cs="宋体"/>
                <w:i w:val="0"/>
                <w:color w:val="000000"/>
                <w:kern w:val="0"/>
                <w:sz w:val="20"/>
                <w:szCs w:val="20"/>
                <w:u w:val="none"/>
                <w:lang w:val="en-US" w:eastAsia="zh-CN" w:bidi="ar"/>
              </w:rPr>
              <w:t>9</w:t>
            </w:r>
            <w:r>
              <w:rPr>
                <w:rFonts w:hint="default" w:ascii="宋体" w:hAnsi="宋体" w:eastAsia="宋体" w:cs="宋体"/>
                <w:i w:val="0"/>
                <w:color w:val="000000"/>
                <w:kern w:val="0"/>
                <w:sz w:val="20"/>
                <w:szCs w:val="20"/>
                <w:u w:val="none"/>
                <w:lang w:val="en-US" w:eastAsia="zh-CN" w:bidi="ar"/>
              </w:rPr>
              <w:t>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6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牛</w:t>
            </w:r>
          </w:p>
        </w:tc>
        <w:tc>
          <w:tcPr>
            <w:tcW w:w="8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w:t>
            </w:r>
          </w:p>
        </w:tc>
        <w:tc>
          <w:tcPr>
            <w:tcW w:w="15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126053</w:t>
            </w:r>
          </w:p>
        </w:tc>
        <w:tc>
          <w:tcPr>
            <w:tcW w:w="18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129054</w:t>
            </w:r>
          </w:p>
        </w:tc>
        <w:tc>
          <w:tcPr>
            <w:tcW w:w="189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6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羊</w:t>
            </w:r>
          </w:p>
        </w:tc>
        <w:tc>
          <w:tcPr>
            <w:tcW w:w="8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5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214353</w:t>
            </w:r>
          </w:p>
        </w:tc>
        <w:tc>
          <w:tcPr>
            <w:tcW w:w="18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235988</w:t>
            </w:r>
          </w:p>
        </w:tc>
        <w:tc>
          <w:tcPr>
            <w:tcW w:w="189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-9.16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6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活家禽</w:t>
            </w:r>
          </w:p>
        </w:tc>
        <w:tc>
          <w:tcPr>
            <w:tcW w:w="8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5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1902732</w:t>
            </w:r>
          </w:p>
        </w:tc>
        <w:tc>
          <w:tcPr>
            <w:tcW w:w="18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1947709</w:t>
            </w:r>
          </w:p>
        </w:tc>
        <w:tc>
          <w:tcPr>
            <w:tcW w:w="189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-2.3</w:t>
            </w:r>
            <w:r>
              <w:rPr>
                <w:rFonts w:hint="eastAsia" w:ascii="宋体" w:hAnsi="宋体" w:eastAsia="宋体" w:cs="宋体"/>
                <w:i w:val="0"/>
                <w:color w:val="000000"/>
                <w:kern w:val="0"/>
                <w:sz w:val="20"/>
                <w:szCs w:val="20"/>
                <w:u w:val="none"/>
                <w:lang w:val="en-US" w:eastAsia="zh-CN" w:bidi="ar"/>
              </w:rPr>
              <w:t>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6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二、畜禽出栏</w:t>
            </w:r>
          </w:p>
        </w:tc>
        <w:tc>
          <w:tcPr>
            <w:tcW w:w="8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5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8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8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6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猪</w:t>
            </w:r>
          </w:p>
        </w:tc>
        <w:tc>
          <w:tcPr>
            <w:tcW w:w="8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w:t>
            </w:r>
          </w:p>
        </w:tc>
        <w:tc>
          <w:tcPr>
            <w:tcW w:w="1575"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635900</w:t>
            </w:r>
          </w:p>
        </w:tc>
        <w:tc>
          <w:tcPr>
            <w:tcW w:w="18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725000</w:t>
            </w:r>
          </w:p>
        </w:tc>
        <w:tc>
          <w:tcPr>
            <w:tcW w:w="189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-12.2</w:t>
            </w:r>
            <w:r>
              <w:rPr>
                <w:rFonts w:hint="eastAsia" w:ascii="宋体" w:hAnsi="宋体" w:cs="宋体"/>
                <w:i w:val="0"/>
                <w:color w:val="000000"/>
                <w:kern w:val="0"/>
                <w:sz w:val="20"/>
                <w:szCs w:val="20"/>
                <w:u w:val="none"/>
                <w:lang w:val="en-US" w:eastAsia="zh-CN" w:bidi="ar"/>
              </w:rPr>
              <w:t>9</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6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牛</w:t>
            </w:r>
          </w:p>
        </w:tc>
        <w:tc>
          <w:tcPr>
            <w:tcW w:w="8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w:t>
            </w:r>
          </w:p>
        </w:tc>
        <w:tc>
          <w:tcPr>
            <w:tcW w:w="1575"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48533</w:t>
            </w:r>
          </w:p>
        </w:tc>
        <w:tc>
          <w:tcPr>
            <w:tcW w:w="18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43925</w:t>
            </w:r>
          </w:p>
        </w:tc>
        <w:tc>
          <w:tcPr>
            <w:tcW w:w="189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10.49</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6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羊</w:t>
            </w:r>
          </w:p>
        </w:tc>
        <w:tc>
          <w:tcPr>
            <w:tcW w:w="8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575"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178429</w:t>
            </w:r>
          </w:p>
        </w:tc>
        <w:tc>
          <w:tcPr>
            <w:tcW w:w="18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178632</w:t>
            </w:r>
          </w:p>
        </w:tc>
        <w:tc>
          <w:tcPr>
            <w:tcW w:w="189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-0.11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6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三、畜禽产品产量</w:t>
            </w:r>
          </w:p>
        </w:tc>
        <w:tc>
          <w:tcPr>
            <w:tcW w:w="8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5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8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8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6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bookmarkStart w:id="0" w:name="_GoBack"/>
            <w:bookmarkEnd w:id="0"/>
            <w:r>
              <w:rPr>
                <w:rFonts w:hint="eastAsia" w:ascii="宋体" w:hAnsi="宋体" w:eastAsia="宋体" w:cs="宋体"/>
                <w:i w:val="0"/>
                <w:color w:val="000000"/>
                <w:kern w:val="0"/>
                <w:sz w:val="20"/>
                <w:szCs w:val="20"/>
                <w:u w:val="none"/>
                <w:lang w:val="en-US" w:eastAsia="zh-CN" w:bidi="ar"/>
              </w:rPr>
              <w:t>四</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肉总产量</w:t>
            </w:r>
          </w:p>
        </w:tc>
        <w:tc>
          <w:tcPr>
            <w:tcW w:w="8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5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70910</w:t>
            </w:r>
          </w:p>
        </w:tc>
        <w:tc>
          <w:tcPr>
            <w:tcW w:w="18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77883</w:t>
            </w:r>
          </w:p>
        </w:tc>
        <w:tc>
          <w:tcPr>
            <w:tcW w:w="189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-8.95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6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猪肉</w:t>
            </w:r>
          </w:p>
        </w:tc>
        <w:tc>
          <w:tcPr>
            <w:tcW w:w="8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575"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55573</w:t>
            </w:r>
          </w:p>
        </w:tc>
        <w:tc>
          <w:tcPr>
            <w:tcW w:w="18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65700</w:t>
            </w:r>
          </w:p>
        </w:tc>
        <w:tc>
          <w:tcPr>
            <w:tcW w:w="189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-15.41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6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牛肉</w:t>
            </w:r>
          </w:p>
        </w:tc>
        <w:tc>
          <w:tcPr>
            <w:tcW w:w="8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575"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6831</w:t>
            </w:r>
          </w:p>
        </w:tc>
        <w:tc>
          <w:tcPr>
            <w:tcW w:w="18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5524</w:t>
            </w:r>
          </w:p>
        </w:tc>
        <w:tc>
          <w:tcPr>
            <w:tcW w:w="189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23.65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6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羊肉</w:t>
            </w:r>
          </w:p>
        </w:tc>
        <w:tc>
          <w:tcPr>
            <w:tcW w:w="8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575"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3806</w:t>
            </w:r>
          </w:p>
        </w:tc>
        <w:tc>
          <w:tcPr>
            <w:tcW w:w="18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2973</w:t>
            </w:r>
          </w:p>
        </w:tc>
        <w:tc>
          <w:tcPr>
            <w:tcW w:w="189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28.0</w:t>
            </w:r>
            <w:r>
              <w:rPr>
                <w:rFonts w:hint="eastAsia" w:ascii="宋体" w:hAnsi="宋体" w:cs="宋体"/>
                <w:i w:val="0"/>
                <w:color w:val="000000"/>
                <w:kern w:val="0"/>
                <w:sz w:val="20"/>
                <w:szCs w:val="20"/>
                <w:u w:val="none"/>
                <w:lang w:val="en-US" w:eastAsia="zh-CN" w:bidi="ar"/>
              </w:rPr>
              <w:t>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6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禽肉</w:t>
            </w:r>
          </w:p>
        </w:tc>
        <w:tc>
          <w:tcPr>
            <w:tcW w:w="8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575"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4700</w:t>
            </w:r>
          </w:p>
        </w:tc>
        <w:tc>
          <w:tcPr>
            <w:tcW w:w="18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3686</w:t>
            </w:r>
          </w:p>
        </w:tc>
        <w:tc>
          <w:tcPr>
            <w:tcW w:w="189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27.52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6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禽蛋</w:t>
            </w:r>
          </w:p>
        </w:tc>
        <w:tc>
          <w:tcPr>
            <w:tcW w:w="8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5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2138</w:t>
            </w:r>
          </w:p>
        </w:tc>
        <w:tc>
          <w:tcPr>
            <w:tcW w:w="183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71</w:t>
            </w:r>
          </w:p>
        </w:tc>
        <w:tc>
          <w:tcPr>
            <w:tcW w:w="189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2911.27</w:t>
            </w:r>
          </w:p>
        </w:tc>
      </w:tr>
    </w:tbl>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eastAsia="仿宋_GB2312"/>
          <w:color w:val="000000"/>
          <w:sz w:val="32"/>
          <w:szCs w:val="32"/>
        </w:rPr>
      </w:pPr>
      <w:r>
        <w:rPr>
          <w:rFonts w:eastAsia="黑体"/>
          <w:color w:val="000000"/>
          <w:sz w:val="32"/>
          <w:szCs w:val="32"/>
        </w:rPr>
        <w:t>四、工业和建筑业</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年末规模以上工业企业</w:t>
      </w:r>
      <w:r>
        <w:rPr>
          <w:rFonts w:hint="eastAsia" w:ascii="仿宋_GB2312" w:hAnsi="仿宋_GB2312" w:eastAsia="仿宋_GB2312" w:cs="仿宋_GB2312"/>
          <w:color w:val="auto"/>
          <w:sz w:val="32"/>
          <w:szCs w:val="32"/>
          <w:lang w:val="en-US" w:eastAsia="zh-CN"/>
        </w:rPr>
        <w:t>47</w:t>
      </w:r>
      <w:r>
        <w:rPr>
          <w:rFonts w:hint="eastAsia" w:ascii="仿宋_GB2312" w:hAnsi="仿宋_GB2312" w:eastAsia="仿宋_GB2312" w:cs="仿宋_GB2312"/>
          <w:color w:val="auto"/>
          <w:sz w:val="32"/>
          <w:szCs w:val="32"/>
        </w:rPr>
        <w:t>户，全年</w:t>
      </w:r>
      <w:r>
        <w:rPr>
          <w:rFonts w:hint="eastAsia" w:ascii="仿宋_GB2312" w:hAnsi="仿宋_GB2312" w:eastAsia="仿宋_GB2312" w:cs="仿宋_GB2312"/>
          <w:color w:val="auto"/>
          <w:sz w:val="32"/>
          <w:szCs w:val="32"/>
          <w:lang w:eastAsia="zh-CN"/>
        </w:rPr>
        <w:t>规模工业总产值</w:t>
      </w:r>
      <w:r>
        <w:rPr>
          <w:rFonts w:hint="eastAsia" w:ascii="仿宋_GB2312" w:hAnsi="仿宋_GB2312" w:eastAsia="仿宋_GB2312" w:cs="仿宋_GB2312"/>
          <w:color w:val="auto"/>
          <w:sz w:val="32"/>
          <w:szCs w:val="32"/>
          <w:lang w:val="en-US" w:eastAsia="zh-CN"/>
        </w:rPr>
        <w:t>144.68亿元，比上年增长20.22%。</w:t>
      </w:r>
      <w:r>
        <w:rPr>
          <w:rFonts w:hint="eastAsia" w:ascii="仿宋_GB2312" w:hAnsi="仿宋_GB2312" w:eastAsia="仿宋_GB2312" w:cs="仿宋_GB2312"/>
          <w:color w:val="auto"/>
          <w:sz w:val="32"/>
          <w:szCs w:val="32"/>
        </w:rPr>
        <w:t>规模以上工业增加值比上年增长</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rPr>
        <w:t>分经济类型看，国有控股企业增加值增长</w:t>
      </w:r>
      <w:r>
        <w:rPr>
          <w:rFonts w:hint="eastAsia" w:ascii="仿宋_GB2312" w:hAnsi="仿宋_GB2312" w:eastAsia="仿宋_GB2312" w:cs="仿宋_GB2312"/>
          <w:color w:val="000000"/>
          <w:sz w:val="32"/>
          <w:szCs w:val="32"/>
          <w:lang w:val="en-US" w:eastAsia="zh-CN"/>
        </w:rPr>
        <w:t>5.5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非公有</w:t>
      </w:r>
      <w:r>
        <w:rPr>
          <w:rFonts w:hint="eastAsia" w:ascii="仿宋_GB2312" w:hAnsi="仿宋_GB2312" w:eastAsia="仿宋_GB2312" w:cs="仿宋_GB2312"/>
          <w:color w:val="000000"/>
          <w:sz w:val="32"/>
          <w:szCs w:val="32"/>
        </w:rPr>
        <w:t>企业</w:t>
      </w:r>
      <w:r>
        <w:rPr>
          <w:rFonts w:hint="eastAsia" w:ascii="仿宋_GB2312" w:hAnsi="仿宋_GB2312" w:eastAsia="仿宋_GB2312" w:cs="仿宋_GB2312"/>
          <w:color w:val="000000"/>
          <w:sz w:val="32"/>
          <w:szCs w:val="32"/>
          <w:lang w:eastAsia="zh-CN"/>
        </w:rPr>
        <w:t>增加值</w:t>
      </w:r>
      <w:r>
        <w:rPr>
          <w:rFonts w:hint="eastAsia" w:ascii="仿宋_GB2312" w:hAnsi="仿宋_GB2312" w:eastAsia="仿宋_GB2312" w:cs="仿宋_GB2312"/>
          <w:color w:val="000000"/>
          <w:sz w:val="32"/>
          <w:szCs w:val="32"/>
        </w:rPr>
        <w:t>增长</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%，私营企业</w:t>
      </w:r>
      <w:r>
        <w:rPr>
          <w:rFonts w:hint="eastAsia" w:ascii="仿宋_GB2312" w:hAnsi="仿宋_GB2312" w:eastAsia="仿宋_GB2312" w:cs="仿宋_GB2312"/>
          <w:color w:val="000000"/>
          <w:sz w:val="32"/>
          <w:szCs w:val="32"/>
          <w:lang w:eastAsia="zh-CN"/>
        </w:rPr>
        <w:t>增加值</w:t>
      </w:r>
      <w:r>
        <w:rPr>
          <w:rFonts w:hint="eastAsia" w:ascii="仿宋_GB2312" w:hAnsi="仿宋_GB2312" w:eastAsia="仿宋_GB2312" w:cs="仿宋_GB2312"/>
          <w:color w:val="000000"/>
          <w:sz w:val="32"/>
          <w:szCs w:val="32"/>
        </w:rPr>
        <w:t>增长</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%。分门类看，采矿业</w:t>
      </w:r>
      <w:r>
        <w:rPr>
          <w:rFonts w:hint="eastAsia" w:ascii="仿宋_GB2312" w:hAnsi="仿宋_GB2312" w:eastAsia="仿宋_GB2312" w:cs="仿宋_GB2312"/>
          <w:color w:val="000000"/>
          <w:sz w:val="32"/>
          <w:szCs w:val="32"/>
          <w:lang w:eastAsia="zh-CN"/>
        </w:rPr>
        <w:t>增加值</w:t>
      </w:r>
      <w:r>
        <w:rPr>
          <w:rFonts w:hint="eastAsia" w:ascii="仿宋_GB2312" w:hAnsi="仿宋_GB2312" w:eastAsia="仿宋_GB2312" w:cs="仿宋_GB2312"/>
          <w:color w:val="000000"/>
          <w:sz w:val="32"/>
          <w:szCs w:val="32"/>
        </w:rPr>
        <w:t>增长</w:t>
      </w:r>
      <w:r>
        <w:rPr>
          <w:rFonts w:hint="eastAsia" w:ascii="仿宋_GB2312" w:hAnsi="仿宋_GB2312" w:eastAsia="仿宋_GB2312" w:cs="仿宋_GB2312"/>
          <w:color w:val="000000"/>
          <w:sz w:val="32"/>
          <w:szCs w:val="32"/>
          <w:lang w:val="en-US" w:eastAsia="zh-CN"/>
        </w:rPr>
        <w:t>19.7</w:t>
      </w:r>
      <w:r>
        <w:rPr>
          <w:rFonts w:hint="eastAsia" w:ascii="仿宋_GB2312" w:hAnsi="仿宋_GB2312" w:eastAsia="仿宋_GB2312" w:cs="仿宋_GB2312"/>
          <w:color w:val="000000"/>
          <w:sz w:val="32"/>
          <w:szCs w:val="32"/>
        </w:rPr>
        <w:t>%，制造业</w:t>
      </w:r>
      <w:r>
        <w:rPr>
          <w:rFonts w:hint="eastAsia" w:ascii="仿宋_GB2312" w:hAnsi="仿宋_GB2312" w:eastAsia="仿宋_GB2312" w:cs="仿宋_GB2312"/>
          <w:color w:val="000000"/>
          <w:sz w:val="32"/>
          <w:szCs w:val="32"/>
          <w:lang w:eastAsia="zh-CN"/>
        </w:rPr>
        <w:t>增加值</w:t>
      </w:r>
      <w:r>
        <w:rPr>
          <w:rFonts w:hint="eastAsia" w:ascii="仿宋_GB2312" w:hAnsi="仿宋_GB2312" w:eastAsia="仿宋_GB2312" w:cs="仿宋_GB2312"/>
          <w:color w:val="000000"/>
          <w:sz w:val="32"/>
          <w:szCs w:val="32"/>
        </w:rPr>
        <w:t>增长</w:t>
      </w:r>
      <w:r>
        <w:rPr>
          <w:rFonts w:hint="eastAsia" w:ascii="仿宋_GB2312" w:hAnsi="仿宋_GB2312" w:eastAsia="仿宋_GB2312" w:cs="仿宋_GB2312"/>
          <w:color w:val="000000"/>
          <w:sz w:val="32"/>
          <w:szCs w:val="32"/>
          <w:lang w:val="en-US" w:eastAsia="zh-CN"/>
        </w:rPr>
        <w:t>36.5</w:t>
      </w:r>
      <w:r>
        <w:rPr>
          <w:rFonts w:hint="eastAsia" w:ascii="仿宋_GB2312" w:hAnsi="仿宋_GB2312" w:eastAsia="仿宋_GB2312" w:cs="仿宋_GB2312"/>
          <w:color w:val="000000"/>
          <w:sz w:val="32"/>
          <w:szCs w:val="32"/>
        </w:rPr>
        <w:t>%，电力、热力、燃气及水生产和供应业</w:t>
      </w:r>
      <w:r>
        <w:rPr>
          <w:rFonts w:hint="eastAsia" w:ascii="仿宋_GB2312" w:hAnsi="仿宋_GB2312" w:eastAsia="仿宋_GB2312" w:cs="仿宋_GB2312"/>
          <w:color w:val="000000"/>
          <w:sz w:val="32"/>
          <w:szCs w:val="32"/>
          <w:lang w:eastAsia="zh-CN"/>
        </w:rPr>
        <w:t>增加值</w:t>
      </w:r>
      <w:r>
        <w:rPr>
          <w:rFonts w:hint="eastAsia" w:ascii="仿宋_GB2312" w:hAnsi="仿宋_GB2312" w:eastAsia="仿宋_GB2312" w:cs="仿宋_GB2312"/>
          <w:color w:val="000000"/>
          <w:sz w:val="32"/>
          <w:szCs w:val="32"/>
        </w:rPr>
        <w:t>增长</w:t>
      </w:r>
      <w:r>
        <w:rPr>
          <w:rFonts w:hint="eastAsia" w:ascii="仿宋_GB2312" w:hAnsi="仿宋_GB2312" w:eastAsia="仿宋_GB2312" w:cs="仿宋_GB2312"/>
          <w:color w:val="000000"/>
          <w:sz w:val="32"/>
          <w:szCs w:val="32"/>
          <w:lang w:val="en-US" w:eastAsia="zh-CN"/>
        </w:rPr>
        <w:t>5.1</w:t>
      </w:r>
      <w:r>
        <w:rPr>
          <w:rFonts w:hint="eastAsia" w:ascii="仿宋_GB2312" w:hAnsi="仿宋_GB2312" w:eastAsia="仿宋_GB2312" w:cs="仿宋_GB2312"/>
          <w:color w:val="000000"/>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eastAsia="仿宋_GB2312"/>
          <w:color w:val="000000"/>
          <w:sz w:val="32"/>
          <w:szCs w:val="32"/>
        </w:rPr>
      </w:pPr>
      <w:r>
        <w:drawing>
          <wp:anchor distT="0" distB="0" distL="114300" distR="114300" simplePos="0" relativeHeight="251667456" behindDoc="0" locked="0" layoutInCell="1" allowOverlap="1">
            <wp:simplePos x="0" y="0"/>
            <wp:positionH relativeFrom="column">
              <wp:posOffset>23495</wp:posOffset>
            </wp:positionH>
            <wp:positionV relativeFrom="paragraph">
              <wp:posOffset>1454150</wp:posOffset>
            </wp:positionV>
            <wp:extent cx="5276850" cy="2685415"/>
            <wp:effectExtent l="4445" t="4445" r="14605" b="15240"/>
            <wp:wrapNone/>
            <wp:docPr id="316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hAnsi="仿宋_GB2312" w:eastAsia="仿宋_GB2312" w:cs="仿宋_GB2312"/>
          <w:color w:val="000000"/>
          <w:sz w:val="32"/>
          <w:szCs w:val="32"/>
          <w:lang w:eastAsia="zh-CN"/>
        </w:rPr>
        <w:t>在</w:t>
      </w:r>
      <w:r>
        <w:rPr>
          <w:rFonts w:hint="eastAsia" w:ascii="仿宋_GB2312" w:hAnsi="仿宋_GB2312" w:eastAsia="仿宋_GB2312" w:cs="仿宋_GB2312"/>
          <w:color w:val="000000"/>
          <w:sz w:val="32"/>
          <w:szCs w:val="32"/>
          <w:lang w:val="en-US" w:eastAsia="zh-CN"/>
        </w:rPr>
        <w:t>4个重点监测的行业</w:t>
      </w:r>
      <w:r>
        <w:rPr>
          <w:rFonts w:hint="eastAsia" w:ascii="仿宋_GB2312" w:hAnsi="仿宋_GB2312" w:eastAsia="仿宋_GB2312" w:cs="仿宋_GB2312"/>
          <w:color w:val="000000"/>
          <w:sz w:val="32"/>
          <w:szCs w:val="32"/>
        </w:rPr>
        <w:t>中，煤炭开采和洗选业增加值</w:t>
      </w:r>
      <w:r>
        <w:rPr>
          <w:rFonts w:hint="eastAsia" w:ascii="仿宋_GB2312" w:hAnsi="仿宋_GB2312" w:eastAsia="仿宋_GB2312" w:cs="仿宋_GB2312"/>
          <w:color w:val="000000"/>
          <w:sz w:val="32"/>
          <w:szCs w:val="32"/>
          <w:lang w:eastAsia="zh-CN"/>
        </w:rPr>
        <w:t>比上年</w:t>
      </w:r>
      <w:r>
        <w:rPr>
          <w:rFonts w:hint="eastAsia" w:ascii="仿宋_GB2312" w:hAnsi="仿宋_GB2312" w:eastAsia="仿宋_GB2312" w:cs="仿宋_GB2312"/>
          <w:color w:val="000000"/>
          <w:sz w:val="32"/>
          <w:szCs w:val="32"/>
        </w:rPr>
        <w:t>增长</w:t>
      </w:r>
      <w:r>
        <w:rPr>
          <w:rFonts w:hint="eastAsia" w:ascii="仿宋_GB2312" w:hAnsi="仿宋_GB2312" w:eastAsia="仿宋_GB2312" w:cs="仿宋_GB2312"/>
          <w:color w:val="000000"/>
          <w:sz w:val="32"/>
          <w:szCs w:val="32"/>
          <w:lang w:val="en-US" w:eastAsia="zh-CN"/>
        </w:rPr>
        <w:t>17.5</w:t>
      </w:r>
      <w:r>
        <w:rPr>
          <w:rFonts w:hint="eastAsia" w:ascii="仿宋_GB2312" w:hAnsi="仿宋_GB2312" w:eastAsia="仿宋_GB2312" w:cs="仿宋_GB2312"/>
          <w:color w:val="000000"/>
          <w:sz w:val="32"/>
          <w:szCs w:val="32"/>
        </w:rPr>
        <w:t>%，酒、饮料和精制茶制造业增长</w:t>
      </w:r>
      <w:r>
        <w:rPr>
          <w:rFonts w:hint="eastAsia" w:ascii="仿宋_GB2312" w:hAnsi="仿宋_GB2312" w:eastAsia="仿宋_GB2312" w:cs="仿宋_GB2312"/>
          <w:color w:val="000000"/>
          <w:sz w:val="32"/>
          <w:szCs w:val="32"/>
          <w:lang w:val="en-US" w:eastAsia="zh-CN"/>
        </w:rPr>
        <w:t>37.8</w:t>
      </w:r>
      <w:r>
        <w:rPr>
          <w:rFonts w:hint="eastAsia" w:ascii="仿宋_GB2312" w:hAnsi="仿宋_GB2312" w:eastAsia="仿宋_GB2312" w:cs="仿宋_GB2312"/>
          <w:color w:val="000000"/>
          <w:sz w:val="32"/>
          <w:szCs w:val="32"/>
        </w:rPr>
        <w:t>%，电力、热力生产和供应业增长</w:t>
      </w:r>
      <w:r>
        <w:rPr>
          <w:rFonts w:hint="eastAsia" w:ascii="仿宋_GB2312" w:hAnsi="仿宋_GB2312" w:eastAsia="仿宋_GB2312" w:cs="仿宋_GB2312"/>
          <w:color w:val="000000"/>
          <w:sz w:val="32"/>
          <w:szCs w:val="32"/>
          <w:lang w:val="en-US" w:eastAsia="zh-CN"/>
        </w:rPr>
        <w:t>5.1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非金属矿物制品</w:t>
      </w:r>
      <w:r>
        <w:rPr>
          <w:rFonts w:hint="eastAsia" w:ascii="仿宋_GB2312" w:hAnsi="仿宋_GB2312" w:eastAsia="仿宋_GB2312" w:cs="仿宋_GB2312"/>
          <w:color w:val="000000"/>
          <w:sz w:val="32"/>
          <w:szCs w:val="32"/>
        </w:rPr>
        <w:t>增长</w:t>
      </w:r>
      <w:r>
        <w:rPr>
          <w:rFonts w:hint="eastAsia" w:ascii="仿宋_GB2312" w:hAnsi="仿宋_GB2312" w:eastAsia="仿宋_GB2312" w:cs="仿宋_GB2312"/>
          <w:color w:val="000000"/>
          <w:sz w:val="32"/>
          <w:szCs w:val="32"/>
          <w:lang w:val="en-US" w:eastAsia="zh-CN"/>
        </w:rPr>
        <w:t>11.3</w:t>
      </w:r>
      <w:r>
        <w:rPr>
          <w:rFonts w:hint="eastAsia" w:ascii="仿宋_GB2312" w:hAnsi="仿宋_GB2312" w:eastAsia="仿宋_GB2312" w:cs="仿宋_GB2312"/>
          <w:color w:val="000000"/>
          <w:sz w:val="32"/>
          <w:szCs w:val="32"/>
        </w:rPr>
        <w:t>%。</w:t>
      </w:r>
    </w:p>
    <w:p>
      <w:pPr>
        <w:pStyle w:val="4"/>
        <w:spacing w:line="560" w:lineRule="exact"/>
        <w:jc w:val="both"/>
        <w:rPr>
          <w:rFonts w:eastAsia="仿宋_GB2312"/>
          <w:color w:val="000000"/>
          <w:sz w:val="32"/>
          <w:szCs w:val="32"/>
        </w:rPr>
      </w:pPr>
    </w:p>
    <w:p>
      <w:pPr>
        <w:pStyle w:val="4"/>
        <w:spacing w:line="560" w:lineRule="exact"/>
        <w:ind w:firstLine="640"/>
        <w:jc w:val="both"/>
        <w:rPr>
          <w:rFonts w:eastAsia="仿宋_GB2312"/>
          <w:color w:val="000000"/>
          <w:sz w:val="32"/>
          <w:szCs w:val="32"/>
        </w:rPr>
      </w:pPr>
    </w:p>
    <w:p>
      <w:pPr>
        <w:pStyle w:val="4"/>
        <w:spacing w:line="560" w:lineRule="exact"/>
        <w:ind w:firstLine="640"/>
        <w:jc w:val="both"/>
        <w:rPr>
          <w:rFonts w:eastAsia="仿宋_GB2312"/>
          <w:color w:val="000000"/>
          <w:sz w:val="32"/>
          <w:szCs w:val="32"/>
        </w:rPr>
      </w:pPr>
    </w:p>
    <w:p>
      <w:pPr>
        <w:pStyle w:val="4"/>
        <w:spacing w:line="560" w:lineRule="exact"/>
        <w:ind w:firstLine="640"/>
        <w:jc w:val="both"/>
        <w:rPr>
          <w:rFonts w:eastAsia="仿宋_GB2312"/>
          <w:color w:val="000000"/>
          <w:sz w:val="32"/>
          <w:szCs w:val="32"/>
        </w:rPr>
      </w:pPr>
    </w:p>
    <w:p>
      <w:pPr>
        <w:pStyle w:val="4"/>
        <w:spacing w:line="560" w:lineRule="exact"/>
        <w:ind w:firstLine="640"/>
        <w:jc w:val="both"/>
        <w:rPr>
          <w:rFonts w:eastAsia="仿宋_GB2312"/>
          <w:color w:val="000000"/>
          <w:sz w:val="32"/>
          <w:szCs w:val="32"/>
        </w:rPr>
      </w:pPr>
    </w:p>
    <w:p>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2019年规模以上工业主要行业增加值及其增长速度</w:t>
      </w:r>
    </w:p>
    <w:tbl>
      <w:tblPr>
        <w:tblStyle w:val="5"/>
        <w:tblW w:w="4998" w:type="pct"/>
        <w:tblInd w:w="0" w:type="dxa"/>
        <w:shd w:val="clear" w:color="auto" w:fill="auto"/>
        <w:tblLayout w:type="autofit"/>
        <w:tblCellMar>
          <w:top w:w="0" w:type="dxa"/>
          <w:left w:w="0" w:type="dxa"/>
          <w:bottom w:w="0" w:type="dxa"/>
          <w:right w:w="0" w:type="dxa"/>
        </w:tblCellMar>
      </w:tblPr>
      <w:tblGrid>
        <w:gridCol w:w="3921"/>
        <w:gridCol w:w="2025"/>
        <w:gridCol w:w="2387"/>
      </w:tblGrid>
      <w:tr>
        <w:tblPrEx>
          <w:shd w:val="clear" w:color="auto" w:fill="auto"/>
          <w:tblCellMar>
            <w:top w:w="0" w:type="dxa"/>
            <w:left w:w="0" w:type="dxa"/>
            <w:bottom w:w="0" w:type="dxa"/>
            <w:right w:w="0" w:type="dxa"/>
          </w:tblCellMar>
        </w:tblPrEx>
        <w:trPr>
          <w:trHeight w:val="450" w:hRule="atLeast"/>
        </w:trPr>
        <w:tc>
          <w:tcPr>
            <w:tcW w:w="235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行业名称</w:t>
            </w:r>
          </w:p>
        </w:tc>
        <w:tc>
          <w:tcPr>
            <w:tcW w:w="1215"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比上年增长（%）</w:t>
            </w:r>
          </w:p>
        </w:tc>
        <w:tc>
          <w:tcPr>
            <w:tcW w:w="1432" w:type="pc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占规模工业增加值比重（%）</w:t>
            </w:r>
          </w:p>
        </w:tc>
      </w:tr>
      <w:tr>
        <w:tblPrEx>
          <w:tblCellMar>
            <w:top w:w="0" w:type="dxa"/>
            <w:left w:w="0" w:type="dxa"/>
            <w:bottom w:w="0" w:type="dxa"/>
            <w:right w:w="0" w:type="dxa"/>
          </w:tblCellMar>
        </w:tblPrEx>
        <w:trPr>
          <w:trHeight w:val="270" w:hRule="atLeast"/>
        </w:trPr>
        <w:tc>
          <w:tcPr>
            <w:tcW w:w="235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规模工业增加值</w:t>
            </w:r>
          </w:p>
        </w:tc>
        <w:tc>
          <w:tcPr>
            <w:tcW w:w="1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auto"/>
                <w:kern w:val="0"/>
                <w:sz w:val="18"/>
                <w:szCs w:val="18"/>
                <w:u w:val="none"/>
                <w:lang w:val="en-US" w:eastAsia="zh-CN" w:bidi="ar"/>
              </w:rPr>
              <w:t>25.0</w:t>
            </w:r>
          </w:p>
        </w:tc>
        <w:tc>
          <w:tcPr>
            <w:tcW w:w="1432" w:type="pc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385" w:hRule="atLeast"/>
        </w:trPr>
        <w:tc>
          <w:tcPr>
            <w:tcW w:w="235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煤炭开采和洗选业</w:t>
            </w:r>
          </w:p>
        </w:tc>
        <w:tc>
          <w:tcPr>
            <w:tcW w:w="1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 </w:t>
            </w:r>
          </w:p>
        </w:tc>
        <w:tc>
          <w:tcPr>
            <w:tcW w:w="1432" w:type="pc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3.26 </w:t>
            </w:r>
          </w:p>
        </w:tc>
      </w:tr>
      <w:tr>
        <w:tblPrEx>
          <w:tblCellMar>
            <w:top w:w="0" w:type="dxa"/>
            <w:left w:w="0" w:type="dxa"/>
            <w:bottom w:w="0" w:type="dxa"/>
            <w:right w:w="0" w:type="dxa"/>
          </w:tblCellMar>
        </w:tblPrEx>
        <w:trPr>
          <w:trHeight w:val="270" w:hRule="atLeast"/>
        </w:trPr>
        <w:tc>
          <w:tcPr>
            <w:tcW w:w="235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非金属矿采选业</w:t>
            </w:r>
          </w:p>
        </w:tc>
        <w:tc>
          <w:tcPr>
            <w:tcW w:w="1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41.4 </w:t>
            </w:r>
          </w:p>
        </w:tc>
        <w:tc>
          <w:tcPr>
            <w:tcW w:w="1432" w:type="pc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0.41 </w:t>
            </w:r>
          </w:p>
        </w:tc>
      </w:tr>
      <w:tr>
        <w:tblPrEx>
          <w:tblCellMar>
            <w:top w:w="0" w:type="dxa"/>
            <w:left w:w="0" w:type="dxa"/>
            <w:bottom w:w="0" w:type="dxa"/>
            <w:right w:w="0" w:type="dxa"/>
          </w:tblCellMar>
        </w:tblPrEx>
        <w:trPr>
          <w:trHeight w:val="270" w:hRule="atLeast"/>
        </w:trPr>
        <w:tc>
          <w:tcPr>
            <w:tcW w:w="235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农副食品加工业</w:t>
            </w:r>
          </w:p>
        </w:tc>
        <w:tc>
          <w:tcPr>
            <w:tcW w:w="1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-50.8 </w:t>
            </w:r>
          </w:p>
        </w:tc>
        <w:tc>
          <w:tcPr>
            <w:tcW w:w="1432" w:type="pc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0.02 </w:t>
            </w:r>
          </w:p>
        </w:tc>
      </w:tr>
      <w:tr>
        <w:tblPrEx>
          <w:tblCellMar>
            <w:top w:w="0" w:type="dxa"/>
            <w:left w:w="0" w:type="dxa"/>
            <w:bottom w:w="0" w:type="dxa"/>
            <w:right w:w="0" w:type="dxa"/>
          </w:tblCellMar>
        </w:tblPrEx>
        <w:trPr>
          <w:trHeight w:val="270" w:hRule="atLeast"/>
        </w:trPr>
        <w:tc>
          <w:tcPr>
            <w:tcW w:w="235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酒、饮料和精制茶制造业</w:t>
            </w:r>
          </w:p>
        </w:tc>
        <w:tc>
          <w:tcPr>
            <w:tcW w:w="1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37.8 </w:t>
            </w:r>
          </w:p>
        </w:tc>
        <w:tc>
          <w:tcPr>
            <w:tcW w:w="1432" w:type="pc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88.13 </w:t>
            </w:r>
          </w:p>
        </w:tc>
      </w:tr>
      <w:tr>
        <w:tblPrEx>
          <w:tblCellMar>
            <w:top w:w="0" w:type="dxa"/>
            <w:left w:w="0" w:type="dxa"/>
            <w:bottom w:w="0" w:type="dxa"/>
            <w:right w:w="0" w:type="dxa"/>
          </w:tblCellMar>
        </w:tblPrEx>
        <w:trPr>
          <w:trHeight w:val="270" w:hRule="atLeast"/>
        </w:trPr>
        <w:tc>
          <w:tcPr>
            <w:tcW w:w="235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非金属矿物制品业</w:t>
            </w:r>
          </w:p>
        </w:tc>
        <w:tc>
          <w:tcPr>
            <w:tcW w:w="1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 </w:t>
            </w:r>
          </w:p>
        </w:tc>
        <w:tc>
          <w:tcPr>
            <w:tcW w:w="1432" w:type="pc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2.19 </w:t>
            </w:r>
          </w:p>
        </w:tc>
      </w:tr>
      <w:tr>
        <w:tblPrEx>
          <w:tblCellMar>
            <w:top w:w="0" w:type="dxa"/>
            <w:left w:w="0" w:type="dxa"/>
            <w:bottom w:w="0" w:type="dxa"/>
            <w:right w:w="0" w:type="dxa"/>
          </w:tblCellMar>
        </w:tblPrEx>
        <w:trPr>
          <w:trHeight w:val="270" w:hRule="atLeast"/>
        </w:trPr>
        <w:tc>
          <w:tcPr>
            <w:tcW w:w="235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电气机械和器材制造业 </w:t>
            </w:r>
          </w:p>
        </w:tc>
        <w:tc>
          <w:tcPr>
            <w:tcW w:w="1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23.4 </w:t>
            </w:r>
          </w:p>
        </w:tc>
        <w:tc>
          <w:tcPr>
            <w:tcW w:w="1432" w:type="pc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0.03 </w:t>
            </w:r>
          </w:p>
        </w:tc>
      </w:tr>
      <w:tr>
        <w:tblPrEx>
          <w:tblCellMar>
            <w:top w:w="0" w:type="dxa"/>
            <w:left w:w="0" w:type="dxa"/>
            <w:bottom w:w="0" w:type="dxa"/>
            <w:right w:w="0" w:type="dxa"/>
          </w:tblCellMar>
        </w:tblPrEx>
        <w:trPr>
          <w:trHeight w:val="270" w:hRule="atLeast"/>
        </w:trPr>
        <w:tc>
          <w:tcPr>
            <w:tcW w:w="235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计算机、通信和其他电子设备制造业</w:t>
            </w:r>
          </w:p>
        </w:tc>
        <w:tc>
          <w:tcPr>
            <w:tcW w:w="1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-51.2 </w:t>
            </w:r>
          </w:p>
        </w:tc>
        <w:tc>
          <w:tcPr>
            <w:tcW w:w="1432" w:type="pc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0.13 </w:t>
            </w:r>
          </w:p>
        </w:tc>
      </w:tr>
      <w:tr>
        <w:tblPrEx>
          <w:tblCellMar>
            <w:top w:w="0" w:type="dxa"/>
            <w:left w:w="0" w:type="dxa"/>
            <w:bottom w:w="0" w:type="dxa"/>
            <w:right w:w="0" w:type="dxa"/>
          </w:tblCellMar>
        </w:tblPrEx>
        <w:trPr>
          <w:trHeight w:val="270" w:hRule="atLeast"/>
        </w:trPr>
        <w:tc>
          <w:tcPr>
            <w:tcW w:w="235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电力、热力生产和供应业</w:t>
            </w:r>
          </w:p>
        </w:tc>
        <w:tc>
          <w:tcPr>
            <w:tcW w:w="1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 </w:t>
            </w:r>
          </w:p>
        </w:tc>
        <w:tc>
          <w:tcPr>
            <w:tcW w:w="1432" w:type="pc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5.83 </w:t>
            </w:r>
          </w:p>
        </w:tc>
      </w:tr>
    </w:tbl>
    <w:p>
      <w:pPr>
        <w:pStyle w:val="4"/>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全年高技术制造业增加值占规模以上工业增加值的比重为</w:t>
      </w:r>
      <w:r>
        <w:rPr>
          <w:rFonts w:hint="eastAsia" w:ascii="仿宋_GB2312" w:hAnsi="仿宋_GB2312" w:eastAsia="仿宋_GB2312" w:cs="仿宋_GB2312"/>
          <w:color w:val="000000"/>
          <w:sz w:val="32"/>
          <w:szCs w:val="32"/>
          <w:lang w:val="en-US" w:eastAsia="zh-CN"/>
        </w:rPr>
        <w:t>0.1</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2019年规模以上工业主要产品产量及其增长速度</w:t>
      </w:r>
    </w:p>
    <w:tbl>
      <w:tblPr>
        <w:tblStyle w:val="5"/>
        <w:tblW w:w="4998" w:type="pct"/>
        <w:tblInd w:w="0" w:type="dxa"/>
        <w:shd w:val="clear" w:color="auto" w:fill="auto"/>
        <w:tblLayout w:type="autofit"/>
        <w:tblCellMar>
          <w:top w:w="0" w:type="dxa"/>
          <w:left w:w="0" w:type="dxa"/>
          <w:bottom w:w="0" w:type="dxa"/>
          <w:right w:w="0" w:type="dxa"/>
        </w:tblCellMar>
      </w:tblPr>
      <w:tblGrid>
        <w:gridCol w:w="3996"/>
        <w:gridCol w:w="1941"/>
        <w:gridCol w:w="2396"/>
      </w:tblGrid>
      <w:tr>
        <w:tblPrEx>
          <w:shd w:val="clear" w:color="auto" w:fill="auto"/>
          <w:tblCellMar>
            <w:top w:w="0" w:type="dxa"/>
            <w:left w:w="0" w:type="dxa"/>
            <w:bottom w:w="0" w:type="dxa"/>
            <w:right w:w="0" w:type="dxa"/>
          </w:tblCellMar>
        </w:tblPrEx>
        <w:trPr>
          <w:trHeight w:val="285" w:hRule="atLeast"/>
        </w:trPr>
        <w:tc>
          <w:tcPr>
            <w:tcW w:w="2397"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指标名称</w:t>
            </w:r>
          </w:p>
        </w:tc>
        <w:tc>
          <w:tcPr>
            <w:tcW w:w="11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绝对数</w:t>
            </w:r>
          </w:p>
        </w:tc>
        <w:tc>
          <w:tcPr>
            <w:tcW w:w="14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比上年增长（%）</w:t>
            </w:r>
          </w:p>
        </w:tc>
      </w:tr>
      <w:tr>
        <w:tblPrEx>
          <w:tblCellMar>
            <w:top w:w="0" w:type="dxa"/>
            <w:left w:w="0" w:type="dxa"/>
            <w:bottom w:w="0" w:type="dxa"/>
            <w:right w:w="0" w:type="dxa"/>
          </w:tblCellMar>
        </w:tblPrEx>
        <w:trPr>
          <w:trHeight w:val="285" w:hRule="atLeast"/>
        </w:trPr>
        <w:tc>
          <w:tcPr>
            <w:tcW w:w="239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原     煤（万吨）</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319 </w:t>
            </w:r>
          </w:p>
        </w:tc>
        <w:tc>
          <w:tcPr>
            <w:tcW w:w="143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17.2 </w:t>
            </w:r>
          </w:p>
        </w:tc>
      </w:tr>
      <w:tr>
        <w:tblPrEx>
          <w:tblCellMar>
            <w:top w:w="0" w:type="dxa"/>
            <w:left w:w="0" w:type="dxa"/>
            <w:bottom w:w="0" w:type="dxa"/>
            <w:right w:w="0" w:type="dxa"/>
          </w:tblCellMar>
        </w:tblPrEx>
        <w:trPr>
          <w:trHeight w:val="285" w:hRule="atLeast"/>
        </w:trPr>
        <w:tc>
          <w:tcPr>
            <w:tcW w:w="239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洗     煤（万吨）</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13.44 </w:t>
            </w:r>
          </w:p>
        </w:tc>
        <w:tc>
          <w:tcPr>
            <w:tcW w:w="143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32.6 </w:t>
            </w:r>
          </w:p>
        </w:tc>
      </w:tr>
      <w:tr>
        <w:tblPrEx>
          <w:tblCellMar>
            <w:top w:w="0" w:type="dxa"/>
            <w:left w:w="0" w:type="dxa"/>
            <w:bottom w:w="0" w:type="dxa"/>
            <w:right w:w="0" w:type="dxa"/>
          </w:tblCellMar>
        </w:tblPrEx>
        <w:trPr>
          <w:trHeight w:val="285" w:hRule="atLeast"/>
        </w:trPr>
        <w:tc>
          <w:tcPr>
            <w:tcW w:w="239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白     酒（千升）</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49250 </w:t>
            </w:r>
          </w:p>
        </w:tc>
        <w:tc>
          <w:tcPr>
            <w:tcW w:w="143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22.4 </w:t>
            </w:r>
          </w:p>
        </w:tc>
      </w:tr>
      <w:tr>
        <w:tblPrEx>
          <w:tblCellMar>
            <w:top w:w="0" w:type="dxa"/>
            <w:left w:w="0" w:type="dxa"/>
            <w:bottom w:w="0" w:type="dxa"/>
            <w:right w:w="0" w:type="dxa"/>
          </w:tblCellMar>
        </w:tblPrEx>
        <w:trPr>
          <w:trHeight w:val="285" w:hRule="atLeast"/>
        </w:trPr>
        <w:tc>
          <w:tcPr>
            <w:tcW w:w="239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     泥（万吨）</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101.1 </w:t>
            </w:r>
          </w:p>
        </w:tc>
        <w:tc>
          <w:tcPr>
            <w:tcW w:w="143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 </w:t>
            </w:r>
          </w:p>
        </w:tc>
      </w:tr>
      <w:tr>
        <w:tblPrEx>
          <w:tblCellMar>
            <w:top w:w="0" w:type="dxa"/>
            <w:left w:w="0" w:type="dxa"/>
            <w:bottom w:w="0" w:type="dxa"/>
            <w:right w:w="0" w:type="dxa"/>
          </w:tblCellMar>
        </w:tblPrEx>
        <w:trPr>
          <w:trHeight w:val="285" w:hRule="atLeast"/>
        </w:trPr>
        <w:tc>
          <w:tcPr>
            <w:tcW w:w="239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全部工业用电量（万千瓦时）</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84497 </w:t>
            </w:r>
          </w:p>
        </w:tc>
        <w:tc>
          <w:tcPr>
            <w:tcW w:w="143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r>
      <w:tr>
        <w:tblPrEx>
          <w:tblCellMar>
            <w:top w:w="0" w:type="dxa"/>
            <w:left w:w="0" w:type="dxa"/>
            <w:bottom w:w="0" w:type="dxa"/>
            <w:right w:w="0" w:type="dxa"/>
          </w:tblCellMar>
        </w:tblPrEx>
        <w:trPr>
          <w:trHeight w:val="285" w:hRule="atLeast"/>
        </w:trPr>
        <w:tc>
          <w:tcPr>
            <w:tcW w:w="239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发电量（万千瓦时）</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517566 </w:t>
            </w:r>
          </w:p>
        </w:tc>
        <w:tc>
          <w:tcPr>
            <w:tcW w:w="143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 </w:t>
            </w:r>
          </w:p>
        </w:tc>
      </w:tr>
    </w:tbl>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具有资质等级建筑业企业</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家，建筑业产值</w:t>
      </w:r>
      <w:r>
        <w:rPr>
          <w:rFonts w:hint="eastAsia" w:ascii="仿宋_GB2312" w:hAnsi="仿宋_GB2312" w:eastAsia="仿宋_GB2312" w:cs="仿宋_GB2312"/>
          <w:color w:val="auto"/>
          <w:sz w:val="32"/>
          <w:szCs w:val="32"/>
          <w:lang w:eastAsia="zh-CN"/>
        </w:rPr>
        <w:t>比上年</w:t>
      </w:r>
      <w:r>
        <w:rPr>
          <w:rFonts w:hint="eastAsia" w:ascii="仿宋_GB2312" w:hAnsi="仿宋_GB2312" w:eastAsia="仿宋_GB2312" w:cs="仿宋_GB2312"/>
          <w:color w:val="auto"/>
          <w:sz w:val="32"/>
          <w:szCs w:val="32"/>
        </w:rPr>
        <w:t>增长</w:t>
      </w:r>
      <w:r>
        <w:rPr>
          <w:rFonts w:hint="eastAsia" w:ascii="仿宋_GB2312" w:hAnsi="仿宋_GB2312" w:eastAsia="仿宋_GB2312" w:cs="仿宋_GB2312"/>
          <w:color w:val="auto"/>
          <w:sz w:val="32"/>
          <w:szCs w:val="32"/>
          <w:lang w:val="en-US" w:eastAsia="zh-CN"/>
        </w:rPr>
        <w:t>38.5</w:t>
      </w:r>
      <w:r>
        <w:rPr>
          <w:rFonts w:hint="eastAsia" w:ascii="仿宋_GB2312" w:hAnsi="仿宋_GB2312" w:eastAsia="仿宋_GB2312" w:cs="仿宋_GB2312"/>
          <w:color w:val="auto"/>
          <w:sz w:val="32"/>
          <w:szCs w:val="32"/>
        </w:rPr>
        <w:t>%。</w:t>
      </w:r>
    </w:p>
    <w:p>
      <w:pPr>
        <w:pStyle w:val="4"/>
        <w:spacing w:line="560" w:lineRule="exact"/>
        <w:ind w:firstLine="640" w:firstLineChars="200"/>
        <w:jc w:val="left"/>
        <w:rPr>
          <w:rFonts w:hint="default" w:eastAsia="黑体"/>
          <w:color w:val="000000"/>
          <w:sz w:val="32"/>
          <w:szCs w:val="32"/>
          <w:lang w:val="en-US" w:eastAsia="zh-CN"/>
        </w:rPr>
      </w:pPr>
      <w:r>
        <w:rPr>
          <w:rFonts w:eastAsia="黑体"/>
          <w:color w:val="000000"/>
          <w:sz w:val="32"/>
          <w:szCs w:val="32"/>
        </w:rPr>
        <w:t>五、固定资产投资</w:t>
      </w:r>
      <w:r>
        <w:rPr>
          <w:rFonts w:hint="eastAsia" w:eastAsia="黑体"/>
          <w:color w:val="000000"/>
          <w:sz w:val="32"/>
          <w:szCs w:val="32"/>
          <w:lang w:val="en-US" w:eastAsia="zh-CN"/>
        </w:rPr>
        <w:t xml:space="preserve"> </w:t>
      </w:r>
    </w:p>
    <w:p>
      <w:pPr>
        <w:pStyle w:val="4"/>
        <w:spacing w:line="560" w:lineRule="exact"/>
        <w:ind w:firstLine="641"/>
        <w:jc w:val="both"/>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全年</w:t>
      </w:r>
      <w:r>
        <w:rPr>
          <w:rFonts w:hint="eastAsia" w:ascii="仿宋_GB2312" w:hAnsi="仿宋_GB2312" w:eastAsia="仿宋_GB2312" w:cs="仿宋_GB2312"/>
          <w:color w:val="000000"/>
          <w:sz w:val="32"/>
          <w:szCs w:val="32"/>
          <w:lang w:val="en-US" w:eastAsia="zh-CN"/>
        </w:rPr>
        <w:t>500万元以上</w:t>
      </w:r>
      <w:r>
        <w:rPr>
          <w:rFonts w:hint="eastAsia" w:ascii="仿宋_GB2312" w:hAnsi="仿宋_GB2312" w:eastAsia="仿宋_GB2312" w:cs="仿宋_GB2312"/>
          <w:color w:val="000000"/>
          <w:sz w:val="32"/>
          <w:szCs w:val="32"/>
        </w:rPr>
        <w:t>固定资产投资比上年增长</w:t>
      </w:r>
      <w:r>
        <w:rPr>
          <w:rFonts w:hint="eastAsia" w:ascii="仿宋_GB2312" w:hAnsi="仿宋_GB2312" w:eastAsia="仿宋_GB2312" w:cs="仿宋_GB2312"/>
          <w:color w:val="000000"/>
          <w:sz w:val="32"/>
          <w:szCs w:val="32"/>
          <w:lang w:val="en-US" w:eastAsia="zh-CN"/>
        </w:rPr>
        <w:t>9.3</w:t>
      </w:r>
      <w:r>
        <w:rPr>
          <w:rFonts w:hint="eastAsia" w:ascii="仿宋_GB2312" w:hAnsi="仿宋_GB2312" w:eastAsia="仿宋_GB2312" w:cs="仿宋_GB2312"/>
          <w:color w:val="000000"/>
          <w:sz w:val="32"/>
          <w:szCs w:val="32"/>
        </w:rPr>
        <w:t>%。其中，第一产业投资占固定资产投资的比重为</w:t>
      </w:r>
      <w:r>
        <w:rPr>
          <w:rFonts w:hint="eastAsia" w:ascii="仿宋_GB2312" w:hAnsi="仿宋_GB2312" w:eastAsia="仿宋_GB2312" w:cs="仿宋_GB2312"/>
          <w:color w:val="000000"/>
          <w:sz w:val="32"/>
          <w:szCs w:val="32"/>
          <w:lang w:val="en-US" w:eastAsia="zh-CN"/>
        </w:rPr>
        <w:t>1.61</w:t>
      </w:r>
      <w:r>
        <w:rPr>
          <w:rFonts w:hint="eastAsia" w:ascii="仿宋_GB2312" w:hAnsi="仿宋_GB2312" w:eastAsia="仿宋_GB2312" w:cs="仿宋_GB2312"/>
          <w:color w:val="000000"/>
          <w:sz w:val="32"/>
          <w:szCs w:val="32"/>
        </w:rPr>
        <w:t>%；第二产业投资</w:t>
      </w:r>
      <w:r>
        <w:rPr>
          <w:rFonts w:hint="eastAsia" w:ascii="仿宋_GB2312" w:hAnsi="仿宋_GB2312" w:eastAsia="仿宋_GB2312" w:cs="仿宋_GB2312"/>
          <w:color w:val="000000"/>
          <w:sz w:val="32"/>
          <w:szCs w:val="32"/>
          <w:lang w:eastAsia="zh-CN"/>
        </w:rPr>
        <w:t>占固定资产投资</w:t>
      </w:r>
      <w:r>
        <w:rPr>
          <w:rFonts w:hint="eastAsia" w:ascii="仿宋_GB2312" w:hAnsi="仿宋_GB2312" w:eastAsia="仿宋_GB2312" w:cs="仿宋_GB2312"/>
          <w:color w:val="000000"/>
          <w:sz w:val="32"/>
          <w:szCs w:val="32"/>
        </w:rPr>
        <w:t>比重为</w:t>
      </w:r>
      <w:r>
        <w:rPr>
          <w:rFonts w:hint="eastAsia" w:ascii="仿宋_GB2312" w:hAnsi="仿宋_GB2312" w:eastAsia="仿宋_GB2312" w:cs="仿宋_GB2312"/>
          <w:color w:val="000000"/>
          <w:sz w:val="32"/>
          <w:szCs w:val="32"/>
          <w:lang w:val="en-US" w:eastAsia="zh-CN"/>
        </w:rPr>
        <w:t>23.55</w:t>
      </w:r>
      <w:r>
        <w:rPr>
          <w:rFonts w:hint="eastAsia" w:ascii="仿宋_GB2312" w:hAnsi="仿宋_GB2312" w:eastAsia="仿宋_GB2312" w:cs="仿宋_GB2312"/>
          <w:color w:val="000000"/>
          <w:sz w:val="32"/>
          <w:szCs w:val="32"/>
        </w:rPr>
        <w:t>%；第三产业投资</w:t>
      </w:r>
      <w:r>
        <w:rPr>
          <w:rFonts w:hint="eastAsia" w:ascii="仿宋_GB2312" w:hAnsi="仿宋_GB2312" w:eastAsia="仿宋_GB2312" w:cs="仿宋_GB2312"/>
          <w:color w:val="000000"/>
          <w:sz w:val="32"/>
          <w:szCs w:val="32"/>
          <w:lang w:eastAsia="zh-CN"/>
        </w:rPr>
        <w:t>占固定资产投资</w:t>
      </w:r>
      <w:r>
        <w:rPr>
          <w:rFonts w:hint="eastAsia" w:ascii="仿宋_GB2312" w:hAnsi="仿宋_GB2312" w:eastAsia="仿宋_GB2312" w:cs="仿宋_GB2312"/>
          <w:color w:val="000000"/>
          <w:sz w:val="32"/>
          <w:szCs w:val="32"/>
        </w:rPr>
        <w:t>比重为</w:t>
      </w:r>
      <w:r>
        <w:rPr>
          <w:rFonts w:hint="eastAsia" w:ascii="仿宋_GB2312" w:hAnsi="仿宋_GB2312" w:eastAsia="仿宋_GB2312" w:cs="仿宋_GB2312"/>
          <w:color w:val="000000"/>
          <w:sz w:val="32"/>
          <w:szCs w:val="32"/>
          <w:lang w:val="en-US" w:eastAsia="zh-CN"/>
        </w:rPr>
        <w:t>74.83</w:t>
      </w:r>
      <w:r>
        <w:rPr>
          <w:rFonts w:hint="eastAsia" w:ascii="仿宋_GB2312" w:hAnsi="仿宋_GB2312" w:eastAsia="仿宋_GB2312" w:cs="仿宋_GB2312"/>
          <w:color w:val="000000"/>
          <w:sz w:val="32"/>
          <w:szCs w:val="32"/>
        </w:rPr>
        <w:t>%。</w:t>
      </w:r>
    </w:p>
    <w:p>
      <w:pPr>
        <w:pStyle w:val="4"/>
        <w:spacing w:line="560" w:lineRule="exact"/>
        <w:jc w:val="both"/>
        <w:rPr>
          <w:rFonts w:eastAsia="仿宋_GB2312"/>
          <w:color w:val="000000"/>
          <w:sz w:val="32"/>
          <w:szCs w:val="32"/>
        </w:rPr>
      </w:pPr>
      <w:r>
        <w:drawing>
          <wp:anchor distT="0" distB="0" distL="114300" distR="114300" simplePos="0" relativeHeight="251669504" behindDoc="0" locked="0" layoutInCell="1" allowOverlap="1">
            <wp:simplePos x="0" y="0"/>
            <wp:positionH relativeFrom="column">
              <wp:posOffset>175895</wp:posOffset>
            </wp:positionH>
            <wp:positionV relativeFrom="paragraph">
              <wp:posOffset>34925</wp:posOffset>
            </wp:positionV>
            <wp:extent cx="5163185" cy="2029460"/>
            <wp:effectExtent l="5080" t="4445" r="13335" b="23495"/>
            <wp:wrapNone/>
            <wp:docPr id="419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4"/>
        <w:spacing w:line="560" w:lineRule="exact"/>
        <w:ind w:firstLine="640"/>
        <w:jc w:val="both"/>
        <w:rPr>
          <w:rFonts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
    <w:p/>
    <w:p>
      <w:r>
        <w:rPr>
          <w:color w:val="auto"/>
        </w:rPr>
        <w:drawing>
          <wp:anchor distT="0" distB="0" distL="114300" distR="114300" simplePos="0" relativeHeight="251668480" behindDoc="0" locked="0" layoutInCell="1" allowOverlap="1">
            <wp:simplePos x="0" y="0"/>
            <wp:positionH relativeFrom="column">
              <wp:posOffset>33020</wp:posOffset>
            </wp:positionH>
            <wp:positionV relativeFrom="paragraph">
              <wp:posOffset>59690</wp:posOffset>
            </wp:positionV>
            <wp:extent cx="5273675" cy="2690495"/>
            <wp:effectExtent l="4445" t="4445" r="17780" b="10160"/>
            <wp:wrapNone/>
            <wp:docPr id="419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eastAsia="仿宋_GB2312"/>
          <w:color w:val="000000"/>
          <w:sz w:val="32"/>
          <w:szCs w:val="32"/>
          <w:lang w:val="en-US" w:eastAsia="zh-CN"/>
        </w:rPr>
      </w:pPr>
      <w:r>
        <w:rPr>
          <w:rFonts w:hint="eastAsia" w:ascii="黑体" w:hAnsi="黑体" w:eastAsia="黑体" w:cs="黑体"/>
          <w:color w:val="auto"/>
          <w:sz w:val="32"/>
          <w:szCs w:val="32"/>
          <w:lang w:eastAsia="zh-CN"/>
        </w:rPr>
        <w:t>六、市场和消费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bCs/>
          <w:color w:val="auto"/>
          <w:sz w:val="32"/>
          <w:szCs w:val="32"/>
        </w:rPr>
      </w:pPr>
      <w:r>
        <w:rPr>
          <w:rFonts w:hint="eastAsia" w:ascii="仿宋_GB2312" w:hAnsi="仿宋_GB2312" w:eastAsia="仿宋_GB2312"/>
          <w:bCs/>
          <w:color w:val="auto"/>
          <w:sz w:val="32"/>
          <w:szCs w:val="32"/>
        </w:rPr>
        <w:t>年末各类市场主体31962户，注册资本510.46亿元。其中，内资企业6816户，注册资本465.91亿元；个体工商户24196户，注册资本17.91亿元；农民专业合作社950户，注册资本26.64亿元。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全年社会消费品销售总额</w:t>
      </w:r>
      <w:r>
        <w:rPr>
          <w:rFonts w:hint="eastAsia" w:ascii="仿宋_GB2312" w:hAnsi="仿宋_GB2312" w:eastAsia="仿宋_GB2312" w:cs="仿宋_GB2312"/>
          <w:color w:val="auto"/>
          <w:sz w:val="32"/>
          <w:szCs w:val="32"/>
          <w:lang w:val="en-US" w:eastAsia="zh-CN"/>
        </w:rPr>
        <w:t>312.45亿元，比上年增长10.6%，</w:t>
      </w:r>
      <w:r>
        <w:rPr>
          <w:rFonts w:hint="eastAsia" w:ascii="仿宋_GB2312" w:hAnsi="宋体" w:eastAsia="仿宋_GB2312"/>
          <w:sz w:val="32"/>
          <w:szCs w:val="32"/>
        </w:rPr>
        <w:t>社会消费品零售总额</w:t>
      </w:r>
      <w:r>
        <w:rPr>
          <w:rFonts w:hint="eastAsia" w:ascii="仿宋_GB2312" w:hAnsi="宋体" w:eastAsia="仿宋_GB2312"/>
          <w:sz w:val="32"/>
          <w:szCs w:val="32"/>
          <w:lang w:val="en-US" w:eastAsia="zh-CN"/>
        </w:rPr>
        <w:t>31.88</w:t>
      </w:r>
      <w:r>
        <w:rPr>
          <w:rFonts w:hint="eastAsia" w:ascii="仿宋_GB2312" w:hAnsi="宋体" w:eastAsia="仿宋_GB2312"/>
          <w:sz w:val="32"/>
          <w:szCs w:val="32"/>
        </w:rPr>
        <w:t>亿元，比上年增长</w:t>
      </w:r>
      <w:r>
        <w:rPr>
          <w:rFonts w:hint="eastAsia" w:ascii="仿宋_GB2312" w:hAnsi="宋体" w:eastAsia="仿宋_GB2312"/>
          <w:sz w:val="32"/>
          <w:szCs w:val="32"/>
          <w:lang w:val="en-US" w:eastAsia="zh-CN"/>
        </w:rPr>
        <w:t>4.1</w:t>
      </w:r>
      <w:r>
        <w:rPr>
          <w:rFonts w:hint="eastAsia" w:ascii="仿宋_GB2312" w:hAnsi="宋体" w:eastAsia="仿宋_GB2312"/>
          <w:sz w:val="32"/>
          <w:szCs w:val="32"/>
        </w:rPr>
        <w:t>%</w:t>
      </w:r>
      <w:r>
        <w:rPr>
          <w:rFonts w:hint="eastAsia" w:ascii="仿宋_GB2312" w:hAnsi="华文宋体" w:eastAsia="仿宋_GB2312"/>
          <w:sz w:val="32"/>
          <w:szCs w:val="32"/>
        </w:rPr>
        <w:t>。</w:t>
      </w:r>
      <w:r>
        <w:rPr>
          <w:rFonts w:hint="eastAsia" w:ascii="仿宋_GB2312" w:hAnsi="华文宋体" w:eastAsia="仿宋_GB2312"/>
          <w:sz w:val="32"/>
          <w:szCs w:val="32"/>
          <w:lang w:eastAsia="zh-CN"/>
        </w:rPr>
        <w:t>年末</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县共有限额以上商贸</w:t>
      </w:r>
      <w:r>
        <w:rPr>
          <w:rFonts w:hint="eastAsia" w:ascii="仿宋_GB2312" w:hAnsi="仿宋_GB2312" w:eastAsia="仿宋_GB2312" w:cs="仿宋_GB2312"/>
          <w:sz w:val="32"/>
          <w:szCs w:val="32"/>
          <w:lang w:eastAsia="zh-CN"/>
        </w:rPr>
        <w:t>业单位</w:t>
      </w:r>
      <w:r>
        <w:rPr>
          <w:rFonts w:hint="eastAsia" w:ascii="仿宋_GB2312" w:hAnsi="仿宋_GB2312" w:eastAsia="仿宋_GB2312" w:cs="仿宋_GB2312"/>
          <w:sz w:val="32"/>
          <w:szCs w:val="32"/>
          <w:lang w:val="en-US" w:eastAsia="zh-CN"/>
        </w:rPr>
        <w:t>91个（其中大个体2户）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color w:val="auto"/>
          <w:sz w:val="32"/>
          <w:szCs w:val="32"/>
        </w:rPr>
        <w:t>限额以上</w:t>
      </w:r>
      <w:r>
        <w:rPr>
          <w:rFonts w:hint="eastAsia" w:ascii="仿宋_GB2312" w:hAnsi="仿宋_GB2312" w:eastAsia="仿宋_GB2312" w:cs="仿宋_GB2312"/>
          <w:color w:val="auto"/>
          <w:sz w:val="32"/>
          <w:szCs w:val="32"/>
          <w:lang w:eastAsia="zh-CN"/>
        </w:rPr>
        <w:t>社会消费品零售总额完成</w:t>
      </w:r>
      <w:r>
        <w:rPr>
          <w:rFonts w:hint="eastAsia" w:ascii="仿宋_GB2312" w:hAnsi="仿宋_GB2312" w:eastAsia="仿宋_GB2312" w:cs="仿宋_GB2312"/>
          <w:color w:val="auto"/>
          <w:sz w:val="32"/>
          <w:szCs w:val="32"/>
          <w:lang w:val="en-US" w:eastAsia="zh-CN"/>
        </w:rPr>
        <w:t>13.91</w:t>
      </w:r>
      <w:r>
        <w:rPr>
          <w:rFonts w:hint="eastAsia" w:ascii="仿宋_GB2312" w:hAnsi="仿宋_GB2312" w:eastAsia="仿宋_GB2312" w:cs="仿宋_GB2312"/>
          <w:color w:val="auto"/>
          <w:sz w:val="32"/>
          <w:szCs w:val="32"/>
        </w:rPr>
        <w:t>亿元，同比增长</w:t>
      </w:r>
      <w:r>
        <w:rPr>
          <w:rFonts w:hint="eastAsia" w:ascii="仿宋_GB2312" w:hAnsi="仿宋_GB2312" w:eastAsia="仿宋_GB2312" w:cs="仿宋_GB2312"/>
          <w:color w:val="auto"/>
          <w:sz w:val="32"/>
          <w:szCs w:val="32"/>
          <w:lang w:val="en-US" w:eastAsia="zh-CN"/>
        </w:rPr>
        <w:t>27.6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lang w:eastAsia="zh-CN"/>
        </w:rPr>
      </w:pPr>
      <w:r>
        <w:drawing>
          <wp:anchor distT="0" distB="0" distL="114300" distR="114300" simplePos="0" relativeHeight="251670528" behindDoc="0" locked="0" layoutInCell="1" allowOverlap="1">
            <wp:simplePos x="0" y="0"/>
            <wp:positionH relativeFrom="column">
              <wp:posOffset>33020</wp:posOffset>
            </wp:positionH>
            <wp:positionV relativeFrom="paragraph">
              <wp:posOffset>31115</wp:posOffset>
            </wp:positionV>
            <wp:extent cx="5257800" cy="2324735"/>
            <wp:effectExtent l="4445" t="4445" r="14605" b="13970"/>
            <wp:wrapNone/>
            <wp:docPr id="519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sz w:val="32"/>
          <w:szCs w:val="32"/>
        </w:rPr>
        <w:t>交通</w:t>
      </w:r>
      <w:r>
        <w:rPr>
          <w:rFonts w:hint="eastAsia" w:ascii="黑体" w:hAnsi="黑体" w:eastAsia="黑体" w:cs="黑体"/>
          <w:sz w:val="32"/>
          <w:szCs w:val="32"/>
          <w:lang w:eastAsia="zh-CN"/>
        </w:rPr>
        <w:t>运输和邮政通信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全县公路总里程达到</w:t>
      </w:r>
      <w:r>
        <w:rPr>
          <w:rFonts w:hint="eastAsia" w:ascii="仿宋_GB2312" w:hAnsi="仿宋_GB2312" w:eastAsia="仿宋_GB2312" w:cs="仿宋_GB2312"/>
          <w:color w:val="auto"/>
          <w:sz w:val="32"/>
          <w:szCs w:val="32"/>
          <w:lang w:val="en-US" w:eastAsia="zh-CN"/>
        </w:rPr>
        <w:t>3711.89</w:t>
      </w:r>
      <w:r>
        <w:rPr>
          <w:rFonts w:hint="eastAsia" w:ascii="仿宋_GB2312" w:hAnsi="仿宋_GB2312" w:eastAsia="仿宋_GB2312" w:cs="仿宋_GB2312"/>
          <w:sz w:val="32"/>
          <w:szCs w:val="32"/>
        </w:rPr>
        <w:t>公里，</w:t>
      </w:r>
      <w:r>
        <w:rPr>
          <w:rFonts w:hint="eastAsia" w:ascii="仿宋_GB2312" w:hAnsi="仿宋_GB2312" w:eastAsia="仿宋_GB2312" w:cs="仿宋_GB2312"/>
          <w:sz w:val="32"/>
          <w:szCs w:val="32"/>
          <w:lang w:eastAsia="zh-CN"/>
        </w:rPr>
        <w:t>比上年末增长</w:t>
      </w:r>
      <w:r>
        <w:rPr>
          <w:rFonts w:hint="eastAsia" w:ascii="仿宋_GB2312" w:hAnsi="仿宋_GB2312" w:eastAsia="仿宋_GB2312" w:cs="仿宋_GB2312"/>
          <w:sz w:val="32"/>
          <w:szCs w:val="32"/>
          <w:lang w:val="en-US" w:eastAsia="zh-CN"/>
        </w:rPr>
        <w:t>153.4%，</w:t>
      </w:r>
      <w:r>
        <w:rPr>
          <w:rFonts w:hint="eastAsia" w:ascii="仿宋_GB2312" w:hAnsi="仿宋_GB2312" w:eastAsia="仿宋_GB2312" w:cs="仿宋_GB2312"/>
          <w:sz w:val="32"/>
          <w:szCs w:val="32"/>
        </w:rPr>
        <w:t>其中：高速</w:t>
      </w:r>
      <w:r>
        <w:rPr>
          <w:rFonts w:hint="eastAsia" w:ascii="仿宋_GB2312" w:hAnsi="仿宋_GB2312" w:eastAsia="仿宋_GB2312" w:cs="仿宋_GB2312"/>
          <w:sz w:val="32"/>
          <w:szCs w:val="32"/>
          <w:lang w:eastAsia="zh-CN"/>
        </w:rPr>
        <w:t>公路里程</w:t>
      </w:r>
      <w:r>
        <w:rPr>
          <w:rFonts w:hint="eastAsia" w:ascii="仿宋_GB2312" w:hAnsi="仿宋_GB2312" w:eastAsia="仿宋_GB2312" w:cs="仿宋_GB2312"/>
          <w:sz w:val="32"/>
          <w:szCs w:val="32"/>
          <w:lang w:val="en-US" w:eastAsia="zh-CN"/>
        </w:rPr>
        <w:t>171</w:t>
      </w:r>
      <w:r>
        <w:rPr>
          <w:rFonts w:hint="eastAsia" w:ascii="仿宋_GB2312" w:hAnsi="仿宋_GB2312" w:eastAsia="仿宋_GB2312" w:cs="仿宋_GB2312"/>
          <w:sz w:val="32"/>
          <w:szCs w:val="32"/>
        </w:rPr>
        <w:t>公里,</w:t>
      </w:r>
      <w:r>
        <w:rPr>
          <w:rFonts w:hint="eastAsia" w:ascii="仿宋_GB2312" w:hAnsi="仿宋_GB2312" w:eastAsia="仿宋_GB2312" w:cs="仿宋_GB2312"/>
          <w:sz w:val="32"/>
          <w:szCs w:val="32"/>
          <w:lang w:eastAsia="zh-CN"/>
        </w:rPr>
        <w:t>与上年持平；国道公路里程</w:t>
      </w:r>
      <w:r>
        <w:rPr>
          <w:rFonts w:hint="eastAsia" w:ascii="仿宋_GB2312" w:hAnsi="仿宋_GB2312" w:eastAsia="仿宋_GB2312" w:cs="仿宋_GB2312"/>
          <w:sz w:val="32"/>
          <w:szCs w:val="32"/>
          <w:lang w:val="en-US" w:eastAsia="zh-CN"/>
        </w:rPr>
        <w:t>219公里；</w:t>
      </w:r>
      <w:r>
        <w:rPr>
          <w:rFonts w:hint="eastAsia" w:ascii="仿宋_GB2312" w:hAnsi="仿宋_GB2312" w:eastAsia="仿宋_GB2312" w:cs="仿宋_GB2312"/>
          <w:sz w:val="32"/>
          <w:szCs w:val="32"/>
        </w:rPr>
        <w:t>省道</w:t>
      </w:r>
      <w:r>
        <w:rPr>
          <w:rFonts w:hint="eastAsia" w:ascii="仿宋_GB2312" w:hAnsi="仿宋_GB2312" w:eastAsia="仿宋_GB2312" w:cs="仿宋_GB2312"/>
          <w:sz w:val="32"/>
          <w:szCs w:val="32"/>
          <w:lang w:eastAsia="zh-CN"/>
        </w:rPr>
        <w:t>公路里程</w:t>
      </w:r>
      <w:r>
        <w:rPr>
          <w:rFonts w:hint="eastAsia" w:ascii="仿宋_GB2312" w:hAnsi="仿宋_GB2312" w:eastAsia="仿宋_GB2312" w:cs="仿宋_GB2312"/>
          <w:sz w:val="32"/>
          <w:szCs w:val="32"/>
          <w:lang w:val="en-US" w:eastAsia="zh-CN"/>
        </w:rPr>
        <w:t>342</w:t>
      </w:r>
      <w:r>
        <w:rPr>
          <w:rFonts w:hint="eastAsia" w:ascii="仿宋_GB2312" w:hAnsi="仿宋_GB2312" w:eastAsia="仿宋_GB2312" w:cs="仿宋_GB2312"/>
          <w:sz w:val="32"/>
          <w:szCs w:val="32"/>
        </w:rPr>
        <w:t>公里,</w:t>
      </w:r>
      <w:r>
        <w:rPr>
          <w:rFonts w:hint="eastAsia" w:ascii="仿宋_GB2312" w:hAnsi="仿宋_GB2312" w:eastAsia="仿宋_GB2312" w:cs="仿宋_GB2312"/>
          <w:sz w:val="32"/>
          <w:szCs w:val="32"/>
          <w:lang w:eastAsia="zh-CN"/>
        </w:rPr>
        <w:t>与上年持平；</w:t>
      </w:r>
      <w:r>
        <w:rPr>
          <w:rFonts w:hint="eastAsia" w:ascii="仿宋_GB2312" w:hAnsi="仿宋_GB2312" w:eastAsia="仿宋_GB2312" w:cs="仿宋_GB2312"/>
          <w:sz w:val="32"/>
          <w:szCs w:val="32"/>
        </w:rPr>
        <w:t>县道</w:t>
      </w:r>
      <w:r>
        <w:rPr>
          <w:rFonts w:hint="eastAsia" w:ascii="仿宋_GB2312" w:hAnsi="仿宋_GB2312" w:eastAsia="仿宋_GB2312" w:cs="仿宋_GB2312"/>
          <w:sz w:val="32"/>
          <w:szCs w:val="32"/>
          <w:lang w:val="en-US" w:eastAsia="zh-CN"/>
        </w:rPr>
        <w:t>公路里程610.32</w:t>
      </w:r>
      <w:r>
        <w:rPr>
          <w:rFonts w:hint="eastAsia" w:ascii="仿宋_GB2312" w:hAnsi="仿宋_GB2312" w:eastAsia="仿宋_GB2312" w:cs="仿宋_GB2312"/>
          <w:sz w:val="32"/>
          <w:szCs w:val="32"/>
        </w:rPr>
        <w:t>公里，</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54.24%；</w:t>
      </w:r>
      <w:r>
        <w:rPr>
          <w:rFonts w:hint="eastAsia" w:ascii="仿宋_GB2312" w:hAnsi="仿宋_GB2312" w:eastAsia="仿宋_GB2312" w:cs="仿宋_GB2312"/>
          <w:sz w:val="32"/>
          <w:szCs w:val="32"/>
        </w:rPr>
        <w:t>乡道</w:t>
      </w:r>
      <w:r>
        <w:rPr>
          <w:rFonts w:hint="eastAsia" w:ascii="仿宋_GB2312" w:hAnsi="仿宋_GB2312" w:eastAsia="仿宋_GB2312" w:cs="仿宋_GB2312"/>
          <w:sz w:val="32"/>
          <w:szCs w:val="32"/>
          <w:lang w:val="en-US" w:eastAsia="zh-CN"/>
        </w:rPr>
        <w:t>903.58</w:t>
      </w:r>
      <w:r>
        <w:rPr>
          <w:rFonts w:hint="eastAsia" w:ascii="仿宋_GB2312" w:hAnsi="仿宋_GB2312" w:eastAsia="仿宋_GB2312" w:cs="仿宋_GB2312"/>
          <w:sz w:val="32"/>
          <w:szCs w:val="32"/>
        </w:rPr>
        <w:t>公里</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62.5%</w:t>
      </w:r>
      <w:r>
        <w:rPr>
          <w:rFonts w:hint="eastAsia" w:ascii="仿宋_GB2312" w:hAnsi="仿宋_GB2312" w:eastAsia="仿宋_GB2312" w:cs="仿宋_GB2312"/>
          <w:sz w:val="32"/>
          <w:szCs w:val="32"/>
        </w:rPr>
        <w:t>。全县共有客运车辆</w:t>
      </w:r>
      <w:r>
        <w:rPr>
          <w:rFonts w:hint="eastAsia" w:ascii="仿宋_GB2312" w:hAnsi="仿宋_GB2312" w:eastAsia="仿宋_GB2312" w:cs="仿宋_GB2312"/>
          <w:sz w:val="32"/>
          <w:szCs w:val="32"/>
          <w:lang w:val="en-US" w:eastAsia="zh-CN"/>
        </w:rPr>
        <w:t>537</w:t>
      </w:r>
      <w:r>
        <w:rPr>
          <w:rFonts w:hint="eastAsia" w:ascii="仿宋_GB2312" w:hAnsi="仿宋_GB2312" w:eastAsia="仿宋_GB2312" w:cs="仿宋_GB2312"/>
          <w:sz w:val="32"/>
          <w:szCs w:val="32"/>
        </w:rPr>
        <w:t>辆，共有各类船舶</w:t>
      </w:r>
      <w:r>
        <w:rPr>
          <w:rFonts w:hint="eastAsia" w:ascii="仿宋_GB2312" w:hAnsi="仿宋_GB2312" w:eastAsia="仿宋_GB2312" w:cs="仿宋_GB2312"/>
          <w:sz w:val="32"/>
          <w:szCs w:val="32"/>
          <w:lang w:val="en-US" w:eastAsia="zh-CN"/>
        </w:rPr>
        <w:t>155</w:t>
      </w:r>
      <w:r>
        <w:rPr>
          <w:rFonts w:hint="eastAsia" w:ascii="仿宋_GB2312" w:hAnsi="仿宋_GB2312" w:eastAsia="仿宋_GB2312" w:cs="仿宋_GB2312"/>
          <w:sz w:val="32"/>
          <w:szCs w:val="32"/>
        </w:rPr>
        <w:t>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rPr>
        <w:t>201</w:t>
      </w:r>
      <w:r>
        <w:rPr>
          <w:rFonts w:hint="eastAsia" w:ascii="仿宋_GB2312" w:hAnsi="仿宋_GB2312" w:eastAsia="仿宋_GB2312" w:cs="仿宋_GB2312"/>
          <w:b w:val="0"/>
          <w:bCs w:val="0"/>
          <w:color w:val="000000"/>
          <w:kern w:val="0"/>
          <w:sz w:val="32"/>
          <w:szCs w:val="32"/>
          <w:lang w:val="en-US" w:eastAsia="zh-CN"/>
        </w:rPr>
        <w:t>9</w:t>
      </w:r>
      <w:r>
        <w:rPr>
          <w:rFonts w:hint="eastAsia" w:ascii="仿宋_GB2312" w:hAnsi="仿宋_GB2312" w:eastAsia="仿宋_GB2312" w:cs="仿宋_GB2312"/>
          <w:b w:val="0"/>
          <w:bCs w:val="0"/>
          <w:color w:val="000000"/>
          <w:kern w:val="0"/>
          <w:sz w:val="32"/>
          <w:szCs w:val="32"/>
        </w:rPr>
        <w:t>年运输发展情况及增长速度</w:t>
      </w:r>
      <w:r>
        <w:rPr>
          <w:rFonts w:hint="eastAsia" w:ascii="仿宋_GB2312" w:hAnsi="仿宋_GB2312" w:eastAsia="仿宋_GB2312" w:cs="仿宋_GB2312"/>
          <w:b w:val="0"/>
          <w:bCs w:val="0"/>
          <w:color w:val="000000"/>
          <w:kern w:val="0"/>
          <w:sz w:val="32"/>
          <w:szCs w:val="32"/>
          <w:lang w:eastAsia="zh-CN"/>
        </w:rPr>
        <w:t>：</w:t>
      </w:r>
    </w:p>
    <w:tbl>
      <w:tblPr>
        <w:tblStyle w:val="5"/>
        <w:tblW w:w="4999" w:type="pct"/>
        <w:tblInd w:w="0" w:type="dxa"/>
        <w:shd w:val="clear" w:color="auto" w:fill="auto"/>
        <w:tblLayout w:type="autofit"/>
        <w:tblCellMar>
          <w:top w:w="0" w:type="dxa"/>
          <w:left w:w="0" w:type="dxa"/>
          <w:bottom w:w="0" w:type="dxa"/>
          <w:right w:w="0" w:type="dxa"/>
        </w:tblCellMar>
      </w:tblPr>
      <w:tblGrid>
        <w:gridCol w:w="4113"/>
        <w:gridCol w:w="1582"/>
        <w:gridCol w:w="2639"/>
      </w:tblGrid>
      <w:tr>
        <w:tblPrEx>
          <w:shd w:val="clear" w:color="auto" w:fill="auto"/>
          <w:tblCellMar>
            <w:top w:w="0" w:type="dxa"/>
            <w:left w:w="0" w:type="dxa"/>
            <w:bottom w:w="0" w:type="dxa"/>
            <w:right w:w="0" w:type="dxa"/>
          </w:tblCellMar>
        </w:tblPrEx>
        <w:trPr>
          <w:trHeight w:val="285" w:hRule="atLeast"/>
        </w:trPr>
        <w:tc>
          <w:tcPr>
            <w:tcW w:w="246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指标名称</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w:t>
            </w:r>
          </w:p>
        </w:tc>
        <w:tc>
          <w:tcPr>
            <w:tcW w:w="158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比上年增长（%）</w:t>
            </w:r>
          </w:p>
        </w:tc>
      </w:tr>
      <w:tr>
        <w:tblPrEx>
          <w:tblCellMar>
            <w:top w:w="0" w:type="dxa"/>
            <w:left w:w="0" w:type="dxa"/>
            <w:bottom w:w="0" w:type="dxa"/>
            <w:right w:w="0" w:type="dxa"/>
          </w:tblCellMar>
        </w:tblPrEx>
        <w:trPr>
          <w:trHeight w:val="285" w:hRule="atLeast"/>
        </w:trPr>
        <w:tc>
          <w:tcPr>
            <w:tcW w:w="246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公路运输完成情况：</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58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285" w:hRule="atLeast"/>
        </w:trPr>
        <w:tc>
          <w:tcPr>
            <w:tcW w:w="246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旅客运输量（万人次）</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29866.82</w:t>
            </w:r>
          </w:p>
        </w:tc>
        <w:tc>
          <w:tcPr>
            <w:tcW w:w="158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22.00 </w:t>
            </w:r>
          </w:p>
        </w:tc>
      </w:tr>
      <w:tr>
        <w:tblPrEx>
          <w:tblCellMar>
            <w:top w:w="0" w:type="dxa"/>
            <w:left w:w="0" w:type="dxa"/>
            <w:bottom w:w="0" w:type="dxa"/>
            <w:right w:w="0" w:type="dxa"/>
          </w:tblCellMar>
        </w:tblPrEx>
        <w:trPr>
          <w:trHeight w:val="285" w:hRule="atLeast"/>
        </w:trPr>
        <w:tc>
          <w:tcPr>
            <w:tcW w:w="246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旅客周转量（万人公里）</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922675</w:t>
            </w:r>
          </w:p>
        </w:tc>
        <w:tc>
          <w:tcPr>
            <w:tcW w:w="158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22.00 </w:t>
            </w:r>
          </w:p>
        </w:tc>
      </w:tr>
      <w:tr>
        <w:tblPrEx>
          <w:tblCellMar>
            <w:top w:w="0" w:type="dxa"/>
            <w:left w:w="0" w:type="dxa"/>
            <w:bottom w:w="0" w:type="dxa"/>
            <w:right w:w="0" w:type="dxa"/>
          </w:tblCellMar>
        </w:tblPrEx>
        <w:trPr>
          <w:trHeight w:val="285" w:hRule="atLeast"/>
        </w:trPr>
        <w:tc>
          <w:tcPr>
            <w:tcW w:w="246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货物运输量（万吨）</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7105.28</w:t>
            </w:r>
          </w:p>
        </w:tc>
        <w:tc>
          <w:tcPr>
            <w:tcW w:w="158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22.00 </w:t>
            </w:r>
          </w:p>
        </w:tc>
      </w:tr>
      <w:tr>
        <w:tblPrEx>
          <w:tblCellMar>
            <w:top w:w="0" w:type="dxa"/>
            <w:left w:w="0" w:type="dxa"/>
            <w:bottom w:w="0" w:type="dxa"/>
            <w:right w:w="0" w:type="dxa"/>
          </w:tblCellMar>
        </w:tblPrEx>
        <w:trPr>
          <w:trHeight w:val="285" w:hRule="atLeast"/>
        </w:trPr>
        <w:tc>
          <w:tcPr>
            <w:tcW w:w="246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货物周转量（万吨公里）</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659473.4</w:t>
            </w:r>
          </w:p>
        </w:tc>
        <w:tc>
          <w:tcPr>
            <w:tcW w:w="158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22.00 </w:t>
            </w:r>
          </w:p>
        </w:tc>
      </w:tr>
      <w:tr>
        <w:tblPrEx>
          <w:tblCellMar>
            <w:top w:w="0" w:type="dxa"/>
            <w:left w:w="0" w:type="dxa"/>
            <w:bottom w:w="0" w:type="dxa"/>
            <w:right w:w="0" w:type="dxa"/>
          </w:tblCellMar>
        </w:tblPrEx>
        <w:trPr>
          <w:trHeight w:val="285" w:hRule="atLeast"/>
        </w:trPr>
        <w:tc>
          <w:tcPr>
            <w:tcW w:w="246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水上运输完成情况：</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58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285" w:hRule="atLeast"/>
        </w:trPr>
        <w:tc>
          <w:tcPr>
            <w:tcW w:w="246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旅客运输量（万人次）</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150.9994</w:t>
            </w:r>
          </w:p>
        </w:tc>
        <w:tc>
          <w:tcPr>
            <w:tcW w:w="158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22.00 </w:t>
            </w:r>
          </w:p>
        </w:tc>
      </w:tr>
      <w:tr>
        <w:tblPrEx>
          <w:tblCellMar>
            <w:top w:w="0" w:type="dxa"/>
            <w:left w:w="0" w:type="dxa"/>
            <w:bottom w:w="0" w:type="dxa"/>
            <w:right w:w="0" w:type="dxa"/>
          </w:tblCellMar>
        </w:tblPrEx>
        <w:trPr>
          <w:trHeight w:val="285" w:hRule="atLeast"/>
        </w:trPr>
        <w:tc>
          <w:tcPr>
            <w:tcW w:w="246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旅客周转量（万人公里）</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2265.076</w:t>
            </w:r>
          </w:p>
        </w:tc>
        <w:tc>
          <w:tcPr>
            <w:tcW w:w="158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22.00 </w:t>
            </w:r>
          </w:p>
        </w:tc>
      </w:tr>
      <w:tr>
        <w:tblPrEx>
          <w:tblCellMar>
            <w:top w:w="0" w:type="dxa"/>
            <w:left w:w="0" w:type="dxa"/>
            <w:bottom w:w="0" w:type="dxa"/>
            <w:right w:w="0" w:type="dxa"/>
          </w:tblCellMar>
        </w:tblPrEx>
        <w:trPr>
          <w:trHeight w:val="285" w:hRule="atLeast"/>
        </w:trPr>
        <w:tc>
          <w:tcPr>
            <w:tcW w:w="246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货物运输量（万吨）</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435.0642</w:t>
            </w:r>
          </w:p>
        </w:tc>
        <w:tc>
          <w:tcPr>
            <w:tcW w:w="158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22.00 </w:t>
            </w:r>
          </w:p>
        </w:tc>
      </w:tr>
      <w:tr>
        <w:tblPrEx>
          <w:tblCellMar>
            <w:top w:w="0" w:type="dxa"/>
            <w:left w:w="0" w:type="dxa"/>
            <w:bottom w:w="0" w:type="dxa"/>
            <w:right w:w="0" w:type="dxa"/>
          </w:tblCellMar>
        </w:tblPrEx>
        <w:trPr>
          <w:trHeight w:val="285" w:hRule="atLeast"/>
        </w:trPr>
        <w:tc>
          <w:tcPr>
            <w:tcW w:w="246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货物周转量（万吨公里）</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75702.23</w:t>
            </w:r>
          </w:p>
        </w:tc>
        <w:tc>
          <w:tcPr>
            <w:tcW w:w="158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22.00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八、旅游和文化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14:textFill>
            <w14:solidFill>
              <w14:schemeClr w14:val="tx1"/>
            </w14:solidFill>
          </w14:textFill>
        </w:rPr>
        <w:t>全年全</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default" w:ascii="仿宋_GB2312" w:hAnsi="仿宋_GB2312" w:eastAsia="仿宋_GB2312" w:cs="仿宋_GB2312"/>
          <w:color w:val="000000" w:themeColor="text1"/>
          <w:sz w:val="32"/>
          <w:szCs w:val="32"/>
          <w14:textFill>
            <w14:solidFill>
              <w14:schemeClr w14:val="tx1"/>
            </w14:solidFill>
          </w14:textFill>
        </w:rPr>
        <w:t>旅游总人数</w:t>
      </w:r>
      <w:r>
        <w:rPr>
          <w:rFonts w:hint="eastAsia" w:ascii="仿宋_GB2312" w:hAnsi="仿宋_GB2312" w:eastAsia="仿宋_GB2312" w:cs="仿宋_GB2312"/>
          <w:color w:val="000000" w:themeColor="text1"/>
          <w:sz w:val="32"/>
          <w:szCs w:val="32"/>
          <w:lang w:eastAsia="zh-CN"/>
          <w14:textFill>
            <w14:solidFill>
              <w14:schemeClr w14:val="tx1"/>
            </w14:solidFill>
          </w14:textFill>
        </w:rPr>
        <w:t>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905万人，</w:t>
      </w:r>
      <w:r>
        <w:rPr>
          <w:rFonts w:hint="default" w:ascii="仿宋_GB2312" w:hAnsi="仿宋_GB2312" w:eastAsia="仿宋_GB2312" w:cs="仿宋_GB2312"/>
          <w:color w:val="000000" w:themeColor="text1"/>
          <w:sz w:val="32"/>
          <w:szCs w:val="32"/>
          <w14:textFill>
            <w14:solidFill>
              <w14:schemeClr w14:val="tx1"/>
            </w14:solidFill>
          </w14:textFill>
        </w:rPr>
        <w:t>比上年增长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10.3</w:t>
      </w:r>
      <w:r>
        <w:rPr>
          <w:rFonts w:hint="default" w:ascii="仿宋_GB2312" w:hAnsi="仿宋_GB2312" w:eastAsia="仿宋_GB2312" w:cs="仿宋_GB2312"/>
          <w:color w:val="000000" w:themeColor="text1"/>
          <w:sz w:val="32"/>
          <w:szCs w:val="32"/>
          <w14:textFill>
            <w14:solidFill>
              <w14:schemeClr w14:val="tx1"/>
            </w14:solidFill>
          </w14:textFill>
        </w:rPr>
        <w:t>%，旅游总收入</w:t>
      </w:r>
      <w:r>
        <w:rPr>
          <w:rFonts w:hint="eastAsia" w:ascii="仿宋_GB2312" w:hAnsi="仿宋_GB2312" w:eastAsia="仿宋_GB2312" w:cs="仿宋_GB2312"/>
          <w:color w:val="000000" w:themeColor="text1"/>
          <w:sz w:val="32"/>
          <w:szCs w:val="32"/>
          <w:lang w:eastAsia="zh-CN"/>
          <w14:textFill>
            <w14:solidFill>
              <w14:schemeClr w14:val="tx1"/>
            </w14:solidFill>
          </w14:textFill>
        </w:rPr>
        <w:t>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95.73亿元，</w:t>
      </w:r>
      <w:r>
        <w:rPr>
          <w:rFonts w:hint="default" w:ascii="仿宋_GB2312" w:hAnsi="仿宋_GB2312" w:eastAsia="仿宋_GB2312" w:cs="仿宋_GB2312"/>
          <w:color w:val="000000" w:themeColor="text1"/>
          <w:sz w:val="32"/>
          <w:szCs w:val="32"/>
          <w14:textFill>
            <w14:solidFill>
              <w14:schemeClr w14:val="tx1"/>
            </w14:solidFill>
          </w14:textFill>
        </w:rPr>
        <w:t>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20.9</w:t>
      </w:r>
      <w:r>
        <w:rPr>
          <w:rFonts w:hint="default"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年末全</w:t>
      </w:r>
      <w:r>
        <w:rPr>
          <w:rFonts w:hint="eastAsia" w:ascii="仿宋_GB2312" w:hAnsi="仿宋_GB2312" w:eastAsia="仿宋_GB2312" w:cs="仿宋_GB2312"/>
          <w:color w:val="auto"/>
          <w:sz w:val="32"/>
          <w:szCs w:val="32"/>
          <w:lang w:eastAsia="zh-CN"/>
        </w:rPr>
        <w:t>县</w:t>
      </w:r>
      <w:r>
        <w:rPr>
          <w:rFonts w:hint="default" w:ascii="仿宋_GB2312" w:hAnsi="仿宋_GB2312" w:eastAsia="仿宋_GB2312" w:cs="仿宋_GB2312"/>
          <w:color w:val="auto"/>
          <w:sz w:val="32"/>
          <w:szCs w:val="32"/>
        </w:rPr>
        <w:t>4A</w:t>
      </w:r>
      <w:r>
        <w:rPr>
          <w:rFonts w:hint="eastAsia" w:ascii="仿宋_GB2312" w:hAnsi="仿宋_GB2312" w:eastAsia="仿宋_GB2312" w:cs="仿宋_GB2312"/>
          <w:color w:val="auto"/>
          <w:sz w:val="32"/>
          <w:szCs w:val="32"/>
        </w:rPr>
        <w:t>级旅游景区</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与上年同期持平</w:t>
      </w:r>
      <w:r>
        <w:rPr>
          <w:rFonts w:hint="eastAsia" w:ascii="仿宋_GB2312" w:hAnsi="仿宋_GB2312" w:eastAsia="仿宋_GB2312" w:cs="仿宋_GB2312"/>
          <w:color w:val="auto"/>
          <w:sz w:val="32"/>
          <w:szCs w:val="32"/>
        </w:rPr>
        <w:t>。全国重点文物保护单位</w:t>
      </w:r>
      <w:r>
        <w:rPr>
          <w:rFonts w:hint="eastAsia" w:ascii="仿宋_GB2312" w:hAnsi="仿宋_GB2312" w:eastAsia="仿宋_GB2312" w:cs="仿宋_GB2312"/>
          <w:color w:val="auto"/>
          <w:sz w:val="32"/>
          <w:szCs w:val="32"/>
          <w:lang w:val="en-US" w:eastAsia="zh-CN"/>
        </w:rPr>
        <w:t>1处14个点</w:t>
      </w:r>
      <w:r>
        <w:rPr>
          <w:rFonts w:hint="eastAsia" w:ascii="仿宋_GB2312" w:hAnsi="仿宋_GB2312" w:eastAsia="仿宋_GB2312" w:cs="仿宋_GB2312"/>
          <w:color w:val="auto"/>
          <w:sz w:val="32"/>
          <w:szCs w:val="32"/>
        </w:rPr>
        <w:t>，乡村旅游扶贫重点村</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个。年末全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客房数</w:t>
      </w:r>
      <w:r>
        <w:rPr>
          <w:rFonts w:hint="eastAsia" w:ascii="仿宋_GB2312" w:hAnsi="仿宋_GB2312" w:eastAsia="仿宋_GB2312" w:cs="仿宋_GB2312"/>
          <w:color w:val="auto"/>
          <w:sz w:val="32"/>
          <w:szCs w:val="32"/>
          <w:lang w:val="en-US" w:eastAsia="zh-CN"/>
        </w:rPr>
        <w:t>3.2</w:t>
      </w:r>
      <w:r>
        <w:rPr>
          <w:rFonts w:hint="eastAsia" w:ascii="仿宋_GB2312" w:hAnsi="仿宋_GB2312" w:eastAsia="仿宋_GB2312" w:cs="仿宋_GB2312"/>
          <w:color w:val="auto"/>
          <w:sz w:val="32"/>
          <w:szCs w:val="32"/>
        </w:rPr>
        <w:t>万间；客房床位数</w:t>
      </w:r>
      <w:r>
        <w:rPr>
          <w:rFonts w:hint="eastAsia" w:ascii="仿宋_GB2312" w:hAnsi="仿宋_GB2312" w:eastAsia="仿宋_GB2312" w:cs="仿宋_GB2312"/>
          <w:color w:val="auto"/>
          <w:sz w:val="32"/>
          <w:szCs w:val="32"/>
          <w:lang w:val="en-US" w:eastAsia="zh-CN"/>
        </w:rPr>
        <w:t>5.6</w:t>
      </w:r>
      <w:r>
        <w:rPr>
          <w:rFonts w:hint="eastAsia" w:ascii="仿宋_GB2312" w:hAnsi="仿宋_GB2312" w:eastAsia="仿宋_GB2312" w:cs="仿宋_GB2312"/>
          <w:color w:val="auto"/>
          <w:sz w:val="32"/>
          <w:szCs w:val="32"/>
        </w:rPr>
        <w:t>万张。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年末全</w:t>
      </w:r>
      <w:r>
        <w:rPr>
          <w:rFonts w:hint="eastAsia" w:ascii="仿宋_GB2312" w:hAnsi="仿宋_GB2312" w:eastAsia="仿宋_GB2312" w:cs="仿宋_GB2312"/>
          <w:color w:val="auto"/>
          <w:sz w:val="32"/>
          <w:szCs w:val="32"/>
          <w:lang w:eastAsia="zh-CN"/>
        </w:rPr>
        <w:t>县</w:t>
      </w:r>
      <w:r>
        <w:rPr>
          <w:rFonts w:hint="default" w:ascii="仿宋_GB2312" w:hAnsi="仿宋_GB2312" w:eastAsia="仿宋_GB2312" w:cs="仿宋_GB2312"/>
          <w:color w:val="auto"/>
          <w:sz w:val="32"/>
          <w:szCs w:val="32"/>
        </w:rPr>
        <w:t>拥有</w:t>
      </w:r>
      <w:r>
        <w:rPr>
          <w:rFonts w:hint="eastAsia" w:ascii="仿宋_GB2312" w:hAnsi="仿宋_GB2312" w:eastAsia="仿宋_GB2312" w:cs="仿宋_GB2312"/>
          <w:color w:val="auto"/>
          <w:sz w:val="32"/>
          <w:szCs w:val="32"/>
        </w:rPr>
        <w:t>艺术表演场馆</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个，博物馆</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个，公共图书馆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个，群众艺术馆、文化馆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个，乡镇综合文化站</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财政、金融业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年,全县完成财政总收入</w:t>
      </w:r>
      <w:r>
        <w:rPr>
          <w:rFonts w:hint="eastAsia" w:ascii="仿宋_GB2312" w:hAnsi="仿宋_GB2312" w:eastAsia="仿宋_GB2312" w:cs="仿宋_GB2312"/>
          <w:color w:val="auto"/>
          <w:sz w:val="32"/>
          <w:szCs w:val="32"/>
          <w:lang w:val="en-US" w:eastAsia="zh-CN"/>
        </w:rPr>
        <w:t>43.38</w:t>
      </w:r>
      <w:r>
        <w:rPr>
          <w:rFonts w:hint="eastAsia" w:ascii="仿宋_GB2312" w:hAnsi="仿宋_GB2312" w:eastAsia="仿宋_GB2312" w:cs="仿宋_GB2312"/>
          <w:color w:val="auto"/>
          <w:sz w:val="32"/>
          <w:szCs w:val="32"/>
        </w:rPr>
        <w:t>亿元，比</w:t>
      </w:r>
      <w:r>
        <w:rPr>
          <w:rFonts w:hint="eastAsia" w:ascii="仿宋_GB2312" w:hAnsi="仿宋_GB2312" w:eastAsia="仿宋_GB2312" w:cs="仿宋_GB2312"/>
          <w:color w:val="auto"/>
          <w:sz w:val="32"/>
          <w:szCs w:val="32"/>
          <w:lang w:eastAsia="zh-CN"/>
        </w:rPr>
        <w:t>上年增长</w:t>
      </w:r>
      <w:r>
        <w:rPr>
          <w:rFonts w:hint="eastAsia" w:ascii="仿宋_GB2312" w:hAnsi="仿宋_GB2312" w:eastAsia="仿宋_GB2312" w:cs="仿宋_GB2312"/>
          <w:color w:val="auto"/>
          <w:sz w:val="32"/>
          <w:szCs w:val="32"/>
          <w:lang w:val="en-US" w:eastAsia="zh-CN"/>
        </w:rPr>
        <w:t>26.49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一般公共财政预算收入</w:t>
      </w:r>
      <w:r>
        <w:rPr>
          <w:rFonts w:hint="eastAsia" w:ascii="仿宋_GB2312" w:hAnsi="仿宋_GB2312" w:eastAsia="仿宋_GB2312" w:cs="仿宋_GB2312"/>
          <w:color w:val="auto"/>
          <w:sz w:val="32"/>
          <w:szCs w:val="32"/>
          <w:lang w:val="en-US" w:eastAsia="zh-CN"/>
        </w:rPr>
        <w:t>12.56</w:t>
      </w:r>
      <w:r>
        <w:rPr>
          <w:rFonts w:hint="eastAsia" w:ascii="仿宋_GB2312" w:hAnsi="仿宋_GB2312" w:eastAsia="仿宋_GB2312" w:cs="仿宋_GB2312"/>
          <w:color w:val="auto"/>
          <w:sz w:val="32"/>
          <w:szCs w:val="32"/>
        </w:rPr>
        <w:t>亿元，比</w:t>
      </w:r>
      <w:r>
        <w:rPr>
          <w:rFonts w:hint="eastAsia" w:ascii="仿宋_GB2312" w:hAnsi="仿宋_GB2312" w:eastAsia="仿宋_GB2312" w:cs="仿宋_GB2312"/>
          <w:color w:val="auto"/>
          <w:sz w:val="32"/>
          <w:szCs w:val="32"/>
          <w:lang w:eastAsia="zh-CN"/>
        </w:rPr>
        <w:t>上年</w:t>
      </w:r>
      <w:r>
        <w:rPr>
          <w:rFonts w:hint="eastAsia" w:ascii="仿宋_GB2312" w:hAnsi="仿宋_GB2312" w:eastAsia="仿宋_GB2312" w:cs="仿宋_GB2312"/>
          <w:color w:val="auto"/>
          <w:sz w:val="32"/>
          <w:szCs w:val="32"/>
        </w:rPr>
        <w:t>增长</w:t>
      </w:r>
      <w:r>
        <w:rPr>
          <w:rFonts w:hint="eastAsia" w:ascii="仿宋_GB2312" w:hAnsi="仿宋_GB2312" w:eastAsia="仿宋_GB2312" w:cs="仿宋_GB2312"/>
          <w:color w:val="auto"/>
          <w:sz w:val="32"/>
          <w:szCs w:val="32"/>
          <w:lang w:val="en-US" w:eastAsia="zh-CN"/>
        </w:rPr>
        <w:t>20.69</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r>
        <w:drawing>
          <wp:anchor distT="0" distB="0" distL="114300" distR="114300" simplePos="0" relativeHeight="251671552" behindDoc="0" locked="0" layoutInCell="1" allowOverlap="1">
            <wp:simplePos x="0" y="0"/>
            <wp:positionH relativeFrom="column">
              <wp:posOffset>33020</wp:posOffset>
            </wp:positionH>
            <wp:positionV relativeFrom="paragraph">
              <wp:posOffset>2540</wp:posOffset>
            </wp:positionV>
            <wp:extent cx="5210175" cy="2705735"/>
            <wp:effectExtent l="4445" t="4445" r="5080" b="13970"/>
            <wp:wrapNone/>
            <wp:docPr id="113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bCs/>
          <w:sz w:val="32"/>
          <w:szCs w:val="32"/>
          <w:lang w:val="en-US" w:eastAsia="zh-CN"/>
        </w:rPr>
      </w:pPr>
      <w:r>
        <w:rPr>
          <w:rFonts w:hint="eastAsia" w:ascii="仿宋_GB2312" w:hAnsi="仿宋_GB2312" w:eastAsia="仿宋_GB2312" w:cs="仿宋_GB2312"/>
          <w:color w:val="auto"/>
          <w:sz w:val="32"/>
          <w:szCs w:val="32"/>
        </w:rPr>
        <w:t>全县</w:t>
      </w:r>
      <w:r>
        <w:rPr>
          <w:rFonts w:hint="eastAsia" w:ascii="仿宋_GB2312" w:hAnsi="仿宋_GB2312" w:eastAsia="仿宋_GB2312" w:cs="仿宋_GB2312"/>
          <w:color w:val="auto"/>
          <w:sz w:val="32"/>
          <w:szCs w:val="32"/>
          <w:lang w:eastAsia="zh-CN"/>
        </w:rPr>
        <w:t>公共财政预算</w:t>
      </w:r>
      <w:r>
        <w:rPr>
          <w:rFonts w:hint="eastAsia" w:ascii="仿宋_GB2312" w:hAnsi="仿宋_GB2312" w:eastAsia="仿宋_GB2312" w:cs="仿宋_GB2312"/>
          <w:color w:val="auto"/>
          <w:sz w:val="32"/>
          <w:szCs w:val="32"/>
        </w:rPr>
        <w:t>支出</w:t>
      </w:r>
      <w:r>
        <w:rPr>
          <w:rFonts w:hint="eastAsia" w:ascii="仿宋_GB2312" w:hAnsi="仿宋_GB2312" w:eastAsia="仿宋_GB2312" w:cs="仿宋_GB2312"/>
          <w:color w:val="auto"/>
          <w:sz w:val="32"/>
          <w:szCs w:val="32"/>
          <w:lang w:val="en-US" w:eastAsia="zh-CN"/>
        </w:rPr>
        <w:t>54.65</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eastAsia="zh-CN"/>
        </w:rPr>
        <w:t>比上年</w:t>
      </w:r>
      <w:r>
        <w:rPr>
          <w:rFonts w:hint="eastAsia" w:ascii="仿宋_GB2312" w:hAnsi="仿宋_GB2312" w:eastAsia="仿宋_GB2312" w:cs="仿宋_GB2312"/>
          <w:color w:val="auto"/>
          <w:sz w:val="32"/>
          <w:szCs w:val="32"/>
        </w:rPr>
        <w:t>增长</w:t>
      </w:r>
      <w:r>
        <w:rPr>
          <w:rFonts w:hint="eastAsia" w:ascii="仿宋_GB2312" w:hAnsi="仿宋_GB2312" w:eastAsia="仿宋_GB2312" w:cs="仿宋_GB2312"/>
          <w:color w:val="auto"/>
          <w:sz w:val="32"/>
          <w:szCs w:val="32"/>
          <w:lang w:val="en-US" w:eastAsia="zh-CN"/>
        </w:rPr>
        <w:t>10.1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；一般公务支出（</w:t>
      </w:r>
      <w:r>
        <w:rPr>
          <w:rFonts w:hint="eastAsia" w:ascii="仿宋_GB2312" w:hAnsi="仿宋_GB2312" w:eastAsia="仿宋_GB2312" w:cs="仿宋_GB2312"/>
          <w:color w:val="auto"/>
          <w:sz w:val="32"/>
          <w:szCs w:val="32"/>
          <w:lang w:val="en-US" w:eastAsia="zh-CN"/>
        </w:rPr>
        <w:t>8类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36.36亿元，比上年增长10.26%</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2019年财政支出主要指标及其增长速度</w:t>
      </w:r>
      <w:r>
        <w:rPr>
          <w:rFonts w:hint="eastAsia" w:ascii="仿宋_GB2312" w:hAnsi="仿宋_GB2312" w:eastAsia="仿宋_GB2312" w:cs="仿宋_GB2312"/>
          <w:b w:val="0"/>
          <w:bCs/>
          <w:color w:val="auto"/>
          <w:sz w:val="32"/>
          <w:szCs w:val="32"/>
          <w:lang w:eastAsia="zh-CN"/>
        </w:rPr>
        <w:t>：</w:t>
      </w:r>
    </w:p>
    <w:tbl>
      <w:tblPr>
        <w:tblStyle w:val="5"/>
        <w:tblW w:w="4998" w:type="pct"/>
        <w:tblInd w:w="0" w:type="dxa"/>
        <w:shd w:val="clear" w:color="auto" w:fill="auto"/>
        <w:tblLayout w:type="autofit"/>
        <w:tblCellMar>
          <w:top w:w="0" w:type="dxa"/>
          <w:left w:w="0" w:type="dxa"/>
          <w:bottom w:w="0" w:type="dxa"/>
          <w:right w:w="0" w:type="dxa"/>
        </w:tblCellMar>
      </w:tblPr>
      <w:tblGrid>
        <w:gridCol w:w="3899"/>
        <w:gridCol w:w="2272"/>
        <w:gridCol w:w="2162"/>
      </w:tblGrid>
      <w:tr>
        <w:tblPrEx>
          <w:shd w:val="clear" w:color="auto" w:fill="auto"/>
          <w:tblCellMar>
            <w:top w:w="0" w:type="dxa"/>
            <w:left w:w="0" w:type="dxa"/>
            <w:bottom w:w="0" w:type="dxa"/>
            <w:right w:w="0" w:type="dxa"/>
          </w:tblCellMar>
        </w:tblPrEx>
        <w:trPr>
          <w:trHeight w:val="285" w:hRule="atLeast"/>
        </w:trPr>
        <w:tc>
          <w:tcPr>
            <w:tcW w:w="23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指标名称</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绝对数（亿元）</w:t>
            </w:r>
          </w:p>
        </w:tc>
        <w:tc>
          <w:tcPr>
            <w:tcW w:w="129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比上年增长（%）</w:t>
            </w:r>
          </w:p>
        </w:tc>
      </w:tr>
      <w:tr>
        <w:tblPrEx>
          <w:tblCellMar>
            <w:top w:w="0" w:type="dxa"/>
            <w:left w:w="0" w:type="dxa"/>
            <w:bottom w:w="0" w:type="dxa"/>
            <w:right w:w="0" w:type="dxa"/>
          </w:tblCellMar>
        </w:tblPrEx>
        <w:trPr>
          <w:trHeight w:val="285" w:hRule="atLeast"/>
        </w:trPr>
        <w:tc>
          <w:tcPr>
            <w:tcW w:w="23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一般公务支出（8类指标）</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36.36 </w:t>
            </w:r>
          </w:p>
        </w:tc>
        <w:tc>
          <w:tcPr>
            <w:tcW w:w="129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10.26 </w:t>
            </w:r>
          </w:p>
        </w:tc>
      </w:tr>
      <w:tr>
        <w:tblPrEx>
          <w:tblCellMar>
            <w:top w:w="0" w:type="dxa"/>
            <w:left w:w="0" w:type="dxa"/>
            <w:bottom w:w="0" w:type="dxa"/>
            <w:right w:w="0" w:type="dxa"/>
          </w:tblCellMar>
        </w:tblPrEx>
        <w:trPr>
          <w:trHeight w:val="285" w:hRule="atLeast"/>
        </w:trPr>
        <w:tc>
          <w:tcPr>
            <w:tcW w:w="23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4.60 </w:t>
            </w:r>
          </w:p>
        </w:tc>
        <w:tc>
          <w:tcPr>
            <w:tcW w:w="129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17.66 </w:t>
            </w:r>
          </w:p>
        </w:tc>
      </w:tr>
      <w:tr>
        <w:tblPrEx>
          <w:tblCellMar>
            <w:top w:w="0" w:type="dxa"/>
            <w:left w:w="0" w:type="dxa"/>
            <w:bottom w:w="0" w:type="dxa"/>
            <w:right w:w="0" w:type="dxa"/>
          </w:tblCellMar>
        </w:tblPrEx>
        <w:trPr>
          <w:trHeight w:val="285" w:hRule="atLeast"/>
        </w:trPr>
        <w:tc>
          <w:tcPr>
            <w:tcW w:w="23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  育</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1.90 </w:t>
            </w:r>
          </w:p>
        </w:tc>
        <w:tc>
          <w:tcPr>
            <w:tcW w:w="129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51.76 </w:t>
            </w:r>
          </w:p>
        </w:tc>
      </w:tr>
      <w:tr>
        <w:tblPrEx>
          <w:tblCellMar>
            <w:top w:w="0" w:type="dxa"/>
            <w:left w:w="0" w:type="dxa"/>
            <w:bottom w:w="0" w:type="dxa"/>
            <w:right w:w="0" w:type="dxa"/>
          </w:tblCellMar>
        </w:tblPrEx>
        <w:trPr>
          <w:trHeight w:val="285" w:hRule="atLeast"/>
        </w:trPr>
        <w:tc>
          <w:tcPr>
            <w:tcW w:w="23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12.34 </w:t>
            </w:r>
          </w:p>
        </w:tc>
        <w:tc>
          <w:tcPr>
            <w:tcW w:w="129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10.80 </w:t>
            </w:r>
          </w:p>
        </w:tc>
      </w:tr>
      <w:tr>
        <w:tblPrEx>
          <w:tblCellMar>
            <w:top w:w="0" w:type="dxa"/>
            <w:left w:w="0" w:type="dxa"/>
            <w:bottom w:w="0" w:type="dxa"/>
            <w:right w:w="0" w:type="dxa"/>
          </w:tblCellMar>
        </w:tblPrEx>
        <w:trPr>
          <w:trHeight w:val="285" w:hRule="atLeast"/>
        </w:trPr>
        <w:tc>
          <w:tcPr>
            <w:tcW w:w="23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1.38 </w:t>
            </w:r>
          </w:p>
        </w:tc>
        <w:tc>
          <w:tcPr>
            <w:tcW w:w="129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27.24 </w:t>
            </w:r>
          </w:p>
        </w:tc>
      </w:tr>
      <w:tr>
        <w:tblPrEx>
          <w:tblCellMar>
            <w:top w:w="0" w:type="dxa"/>
            <w:left w:w="0" w:type="dxa"/>
            <w:bottom w:w="0" w:type="dxa"/>
            <w:right w:w="0" w:type="dxa"/>
          </w:tblCellMar>
        </w:tblPrEx>
        <w:trPr>
          <w:trHeight w:val="285" w:hRule="atLeast"/>
        </w:trPr>
        <w:tc>
          <w:tcPr>
            <w:tcW w:w="23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5.62 </w:t>
            </w:r>
          </w:p>
        </w:tc>
        <w:tc>
          <w:tcPr>
            <w:tcW w:w="129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-12.40 </w:t>
            </w:r>
          </w:p>
        </w:tc>
      </w:tr>
      <w:tr>
        <w:tblPrEx>
          <w:tblCellMar>
            <w:top w:w="0" w:type="dxa"/>
            <w:left w:w="0" w:type="dxa"/>
            <w:bottom w:w="0" w:type="dxa"/>
            <w:right w:w="0" w:type="dxa"/>
          </w:tblCellMar>
        </w:tblPrEx>
        <w:trPr>
          <w:trHeight w:val="285" w:hRule="atLeast"/>
        </w:trPr>
        <w:tc>
          <w:tcPr>
            <w:tcW w:w="23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医疗卫生与计划生育支出</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4.61 </w:t>
            </w:r>
          </w:p>
        </w:tc>
        <w:tc>
          <w:tcPr>
            <w:tcW w:w="129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-30.90 </w:t>
            </w:r>
          </w:p>
        </w:tc>
      </w:tr>
      <w:tr>
        <w:tblPrEx>
          <w:tblCellMar>
            <w:top w:w="0" w:type="dxa"/>
            <w:left w:w="0" w:type="dxa"/>
            <w:bottom w:w="0" w:type="dxa"/>
            <w:right w:w="0" w:type="dxa"/>
          </w:tblCellMar>
        </w:tblPrEx>
        <w:trPr>
          <w:trHeight w:val="285" w:hRule="atLeast"/>
        </w:trPr>
        <w:tc>
          <w:tcPr>
            <w:tcW w:w="23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节能环保</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 </w:t>
            </w:r>
          </w:p>
        </w:tc>
        <w:tc>
          <w:tcPr>
            <w:tcW w:w="129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83.51 </w:t>
            </w:r>
          </w:p>
        </w:tc>
      </w:tr>
      <w:tr>
        <w:tblPrEx>
          <w:tblCellMar>
            <w:top w:w="0" w:type="dxa"/>
            <w:left w:w="0" w:type="dxa"/>
            <w:bottom w:w="0" w:type="dxa"/>
            <w:right w:w="0" w:type="dxa"/>
          </w:tblCellMar>
        </w:tblPrEx>
        <w:trPr>
          <w:trHeight w:val="285" w:hRule="atLeast"/>
        </w:trPr>
        <w:tc>
          <w:tcPr>
            <w:tcW w:w="23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城乡社区事务</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2.42 </w:t>
            </w:r>
          </w:p>
        </w:tc>
        <w:tc>
          <w:tcPr>
            <w:tcW w:w="129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297.88 </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仿宋_GB2312" w:eastAsia="仿宋_GB2312"/>
          <w:bCs/>
          <w:sz w:val="32"/>
          <w:szCs w:val="32"/>
        </w:rPr>
      </w:pPr>
      <w:r>
        <w:rPr>
          <w:rFonts w:hint="eastAsia" w:ascii="仿宋_GB2312" w:hAnsi="仿宋_GB2312" w:eastAsia="仿宋_GB2312"/>
          <w:bCs/>
          <w:sz w:val="32"/>
          <w:szCs w:val="32"/>
        </w:rPr>
        <w:t>年末金融机构人民币各项存款余额</w:t>
      </w:r>
      <w:r>
        <w:rPr>
          <w:rFonts w:hint="eastAsia" w:ascii="仿宋_GB2312" w:eastAsia="仿宋_GB2312"/>
          <w:bCs/>
          <w:sz w:val="32"/>
          <w:szCs w:val="32"/>
          <w:lang w:val="en-US" w:eastAsia="zh-CN"/>
        </w:rPr>
        <w:t>226.12</w:t>
      </w:r>
      <w:r>
        <w:rPr>
          <w:rFonts w:hint="eastAsia" w:ascii="仿宋_GB2312" w:hAnsi="仿宋_GB2312" w:eastAsia="仿宋_GB2312"/>
          <w:bCs/>
          <w:sz w:val="32"/>
          <w:szCs w:val="32"/>
        </w:rPr>
        <w:t>亿元，比上年末增长</w:t>
      </w:r>
      <w:r>
        <w:rPr>
          <w:rFonts w:hint="eastAsia" w:ascii="仿宋_GB2312" w:eastAsia="仿宋_GB2312"/>
          <w:bCs/>
          <w:sz w:val="32"/>
          <w:szCs w:val="32"/>
          <w:lang w:val="en-US" w:eastAsia="zh-CN"/>
        </w:rPr>
        <w:t>7.19</w:t>
      </w:r>
      <w:r>
        <w:rPr>
          <w:rFonts w:hint="eastAsia" w:ascii="仿宋_GB2312" w:eastAsia="仿宋_GB2312"/>
          <w:bCs/>
          <w:sz w:val="32"/>
          <w:szCs w:val="32"/>
        </w:rPr>
        <w:t>%</w:t>
      </w:r>
      <w:r>
        <w:rPr>
          <w:rFonts w:hint="eastAsia" w:ascii="仿宋_GB2312" w:hAnsi="仿宋_GB2312" w:eastAsia="仿宋_GB2312"/>
          <w:bCs/>
          <w:sz w:val="32"/>
          <w:szCs w:val="32"/>
        </w:rPr>
        <w:t>。其中，住户存款</w:t>
      </w:r>
      <w:r>
        <w:rPr>
          <w:rFonts w:hint="eastAsia" w:ascii="仿宋_GB2312" w:eastAsia="仿宋_GB2312"/>
          <w:bCs/>
          <w:sz w:val="32"/>
          <w:szCs w:val="32"/>
          <w:lang w:val="en-US" w:eastAsia="zh-CN"/>
        </w:rPr>
        <w:t>130.75</w:t>
      </w:r>
      <w:r>
        <w:rPr>
          <w:rFonts w:hint="eastAsia" w:ascii="仿宋_GB2312" w:hAnsi="仿宋_GB2312" w:eastAsia="仿宋_GB2312"/>
          <w:bCs/>
          <w:sz w:val="32"/>
          <w:szCs w:val="32"/>
        </w:rPr>
        <w:t>亿元，占金融机构人民币各项存款余额的比重为</w:t>
      </w:r>
      <w:r>
        <w:rPr>
          <w:rFonts w:hint="eastAsia" w:ascii="仿宋_GB2312" w:eastAsia="仿宋_GB2312"/>
          <w:bCs/>
          <w:sz w:val="32"/>
          <w:szCs w:val="32"/>
          <w:lang w:val="en-US" w:eastAsia="zh-CN"/>
        </w:rPr>
        <w:t>57.82</w:t>
      </w:r>
      <w:r>
        <w:rPr>
          <w:rFonts w:hint="eastAsia" w:ascii="仿宋_GB2312" w:eastAsia="仿宋_GB2312"/>
          <w:bCs/>
          <w:sz w:val="32"/>
          <w:szCs w:val="32"/>
        </w:rPr>
        <w:t>%</w:t>
      </w:r>
      <w:r>
        <w:rPr>
          <w:rFonts w:hint="eastAsia" w:ascii="仿宋_GB2312" w:hAnsi="仿宋_GB2312" w:eastAsia="仿宋_GB2312"/>
          <w:bCs/>
          <w:sz w:val="32"/>
          <w:szCs w:val="32"/>
        </w:rPr>
        <w:t>；非金融企业存款</w:t>
      </w:r>
      <w:r>
        <w:rPr>
          <w:rFonts w:hint="eastAsia" w:ascii="仿宋_GB2312" w:eastAsia="仿宋_GB2312"/>
          <w:bCs/>
          <w:sz w:val="32"/>
          <w:szCs w:val="32"/>
          <w:lang w:val="en-US" w:eastAsia="zh-CN"/>
        </w:rPr>
        <w:t>59.37</w:t>
      </w:r>
      <w:r>
        <w:rPr>
          <w:rFonts w:hint="eastAsia" w:ascii="仿宋_GB2312" w:hAnsi="仿宋_GB2312" w:eastAsia="仿宋_GB2312"/>
          <w:bCs/>
          <w:sz w:val="32"/>
          <w:szCs w:val="32"/>
        </w:rPr>
        <w:t>亿元，</w:t>
      </w:r>
      <w:r>
        <w:rPr>
          <w:rFonts w:hint="eastAsia" w:ascii="仿宋_GB2312" w:hAnsi="仿宋_GB2312" w:eastAsia="仿宋_GB2312"/>
          <w:bCs/>
          <w:sz w:val="32"/>
          <w:szCs w:val="32"/>
          <w:lang w:eastAsia="zh-CN"/>
        </w:rPr>
        <w:t>占比</w:t>
      </w:r>
      <w:r>
        <w:rPr>
          <w:rFonts w:hint="eastAsia" w:ascii="仿宋_GB2312" w:hAnsi="仿宋_GB2312" w:eastAsia="仿宋_GB2312"/>
          <w:bCs/>
          <w:sz w:val="32"/>
          <w:szCs w:val="32"/>
        </w:rPr>
        <w:t>为</w:t>
      </w:r>
      <w:r>
        <w:rPr>
          <w:rFonts w:hint="eastAsia" w:ascii="仿宋_GB2312" w:eastAsia="仿宋_GB2312"/>
          <w:bCs/>
          <w:sz w:val="32"/>
          <w:szCs w:val="32"/>
          <w:lang w:val="en-US" w:eastAsia="zh-CN"/>
        </w:rPr>
        <w:t>26.26</w:t>
      </w:r>
      <w:r>
        <w:rPr>
          <w:rFonts w:hint="eastAsia" w:ascii="仿宋_GB2312" w:eastAsia="仿宋_GB2312"/>
          <w:bCs/>
          <w:sz w:val="32"/>
          <w:szCs w:val="32"/>
        </w:rPr>
        <w:t>%</w:t>
      </w:r>
      <w:r>
        <w:rPr>
          <w:rFonts w:hint="eastAsia" w:ascii="仿宋_GB2312" w:hAnsi="仿宋_GB2312" w:eastAsia="仿宋_GB2312"/>
          <w:bCs/>
          <w:sz w:val="32"/>
          <w:szCs w:val="32"/>
        </w:rPr>
        <w:t>；广义政府存款</w:t>
      </w:r>
      <w:r>
        <w:rPr>
          <w:rFonts w:hint="eastAsia" w:ascii="仿宋_GB2312" w:eastAsia="仿宋_GB2312"/>
          <w:bCs/>
          <w:sz w:val="32"/>
          <w:szCs w:val="32"/>
          <w:lang w:val="en-US" w:eastAsia="zh-CN"/>
        </w:rPr>
        <w:t>35.98</w:t>
      </w:r>
      <w:r>
        <w:rPr>
          <w:rFonts w:hint="eastAsia" w:ascii="仿宋_GB2312" w:hAnsi="仿宋_GB2312" w:eastAsia="仿宋_GB2312"/>
          <w:bCs/>
          <w:sz w:val="32"/>
          <w:szCs w:val="32"/>
        </w:rPr>
        <w:t>亿元，</w:t>
      </w:r>
      <w:r>
        <w:rPr>
          <w:rFonts w:hint="eastAsia" w:ascii="仿宋_GB2312" w:hAnsi="仿宋_GB2312" w:eastAsia="仿宋_GB2312"/>
          <w:bCs/>
          <w:sz w:val="32"/>
          <w:szCs w:val="32"/>
          <w:lang w:eastAsia="zh-CN"/>
        </w:rPr>
        <w:t>占比</w:t>
      </w:r>
      <w:r>
        <w:rPr>
          <w:rFonts w:hint="eastAsia" w:ascii="仿宋_GB2312" w:hAnsi="仿宋_GB2312" w:eastAsia="仿宋_GB2312"/>
          <w:bCs/>
          <w:sz w:val="32"/>
          <w:szCs w:val="32"/>
        </w:rPr>
        <w:t>为</w:t>
      </w:r>
      <w:r>
        <w:rPr>
          <w:rFonts w:hint="eastAsia" w:ascii="仿宋_GB2312" w:eastAsia="仿宋_GB2312"/>
          <w:bCs/>
          <w:sz w:val="32"/>
          <w:szCs w:val="32"/>
          <w:lang w:val="en-US" w:eastAsia="zh-CN"/>
        </w:rPr>
        <w:t>15.9</w:t>
      </w:r>
      <w:r>
        <w:rPr>
          <w:rFonts w:hint="eastAsia" w:ascii="仿宋_GB2312" w:eastAsia="仿宋_GB2312"/>
          <w:bCs/>
          <w:sz w:val="32"/>
          <w:szCs w:val="32"/>
        </w:rPr>
        <w:t>%</w:t>
      </w:r>
      <w:r>
        <w:rPr>
          <w:rFonts w:hint="eastAsia" w:ascii="仿宋_GB2312" w:hAnsi="仿宋_GB2312" w:eastAsia="仿宋_GB2312"/>
          <w:bCs/>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bCs/>
          <w:sz w:val="32"/>
          <w:szCs w:val="32"/>
        </w:rPr>
      </w:pPr>
      <w:r>
        <w:rPr>
          <w:rFonts w:hint="eastAsia" w:ascii="仿宋_GB2312" w:hAnsi="仿宋_GB2312" w:eastAsia="仿宋_GB2312"/>
          <w:bCs/>
          <w:sz w:val="32"/>
          <w:szCs w:val="32"/>
        </w:rPr>
        <w:t>年末金融机构人民币各项贷款余额</w:t>
      </w:r>
      <w:r>
        <w:rPr>
          <w:rFonts w:hint="eastAsia" w:ascii="仿宋_GB2312" w:hAnsi="仿宋_GB2312" w:eastAsia="仿宋_GB2312"/>
          <w:bCs/>
          <w:sz w:val="32"/>
          <w:szCs w:val="32"/>
          <w:lang w:val="en-US" w:eastAsia="zh-CN"/>
        </w:rPr>
        <w:t>240.74</w:t>
      </w:r>
      <w:r>
        <w:rPr>
          <w:rFonts w:hint="eastAsia" w:ascii="仿宋_GB2312" w:hAnsi="仿宋_GB2312" w:eastAsia="仿宋_GB2312"/>
          <w:bCs/>
          <w:sz w:val="32"/>
          <w:szCs w:val="32"/>
        </w:rPr>
        <w:t>亿元，比上年末增长</w:t>
      </w:r>
      <w:r>
        <w:rPr>
          <w:rFonts w:hint="eastAsia" w:ascii="仿宋_GB2312" w:hAnsi="仿宋_GB2312" w:eastAsia="仿宋_GB2312"/>
          <w:bCs/>
          <w:sz w:val="32"/>
          <w:szCs w:val="32"/>
          <w:lang w:val="en-US" w:eastAsia="zh-CN"/>
        </w:rPr>
        <w:t>15.93</w:t>
      </w:r>
      <w:r>
        <w:rPr>
          <w:rFonts w:hint="eastAsia" w:ascii="仿宋_GB2312" w:hAnsi="仿宋_GB2312" w:eastAsia="仿宋_GB2312"/>
          <w:bCs/>
          <w:sz w:val="32"/>
          <w:szCs w:val="32"/>
        </w:rPr>
        <w:t>%。其中，住户贷款</w:t>
      </w:r>
      <w:r>
        <w:rPr>
          <w:rFonts w:hint="eastAsia" w:ascii="仿宋_GB2312" w:hAnsi="仿宋_GB2312" w:eastAsia="仿宋_GB2312"/>
          <w:bCs/>
          <w:sz w:val="32"/>
          <w:szCs w:val="32"/>
          <w:lang w:val="en-US" w:eastAsia="zh-CN"/>
        </w:rPr>
        <w:t>81.5</w:t>
      </w:r>
      <w:r>
        <w:rPr>
          <w:rFonts w:hint="eastAsia" w:ascii="仿宋_GB2312" w:hAnsi="仿宋_GB2312" w:eastAsia="仿宋_GB2312"/>
          <w:bCs/>
          <w:sz w:val="32"/>
          <w:szCs w:val="32"/>
        </w:rPr>
        <w:t>亿元，占金融机构人民币各项贷款余额的比重为</w:t>
      </w:r>
      <w:r>
        <w:rPr>
          <w:rFonts w:hint="eastAsia" w:ascii="仿宋_GB2312" w:hAnsi="仿宋_GB2312" w:eastAsia="仿宋_GB2312"/>
          <w:bCs/>
          <w:sz w:val="32"/>
          <w:szCs w:val="32"/>
          <w:lang w:val="en-US" w:eastAsia="zh-CN"/>
        </w:rPr>
        <w:t>33.85</w:t>
      </w:r>
      <w:r>
        <w:rPr>
          <w:rFonts w:hint="eastAsia" w:ascii="仿宋_GB2312" w:hAnsi="仿宋_GB2312" w:eastAsia="仿宋_GB2312"/>
          <w:bCs/>
          <w:sz w:val="32"/>
          <w:szCs w:val="32"/>
        </w:rPr>
        <w:t>%；非金融企业及机关团体贷款</w:t>
      </w:r>
      <w:r>
        <w:rPr>
          <w:rFonts w:hint="eastAsia" w:ascii="仿宋_GB2312" w:hAnsi="仿宋_GB2312" w:eastAsia="仿宋_GB2312"/>
          <w:bCs/>
          <w:sz w:val="32"/>
          <w:szCs w:val="32"/>
          <w:lang w:val="en-US" w:eastAsia="zh-CN"/>
        </w:rPr>
        <w:t>159.23</w:t>
      </w:r>
      <w:r>
        <w:rPr>
          <w:rFonts w:hint="eastAsia" w:ascii="仿宋_GB2312" w:hAnsi="仿宋_GB2312" w:eastAsia="仿宋_GB2312"/>
          <w:bCs/>
          <w:sz w:val="32"/>
          <w:szCs w:val="32"/>
        </w:rPr>
        <w:t>亿元，</w:t>
      </w:r>
      <w:r>
        <w:rPr>
          <w:rFonts w:hint="eastAsia" w:ascii="仿宋_GB2312" w:hAnsi="仿宋_GB2312" w:eastAsia="仿宋_GB2312"/>
          <w:bCs/>
          <w:sz w:val="32"/>
          <w:szCs w:val="32"/>
          <w:lang w:eastAsia="zh-CN"/>
        </w:rPr>
        <w:t>占比</w:t>
      </w:r>
      <w:r>
        <w:rPr>
          <w:rFonts w:hint="eastAsia" w:ascii="仿宋_GB2312" w:hAnsi="仿宋_GB2312" w:eastAsia="仿宋_GB2312"/>
          <w:bCs/>
          <w:sz w:val="32"/>
          <w:szCs w:val="32"/>
        </w:rPr>
        <w:t>为</w:t>
      </w:r>
      <w:r>
        <w:rPr>
          <w:rFonts w:hint="eastAsia" w:ascii="仿宋_GB2312" w:hAnsi="仿宋_GB2312" w:eastAsia="仿宋_GB2312"/>
          <w:bCs/>
          <w:sz w:val="32"/>
          <w:szCs w:val="32"/>
          <w:lang w:val="en-US" w:eastAsia="zh-CN"/>
        </w:rPr>
        <w:t>66.14</w:t>
      </w:r>
      <w:r>
        <w:rPr>
          <w:rFonts w:hint="eastAsia" w:ascii="仿宋_GB2312" w:hAnsi="仿宋_GB2312" w:eastAsia="仿宋_GB2312"/>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bCs/>
          <w:sz w:val="32"/>
          <w:szCs w:val="32"/>
        </w:rPr>
      </w:pPr>
      <w:r>
        <w:rPr>
          <w:rFonts w:hint="eastAsia" w:ascii="仿宋_GB2312" w:hAnsi="仿宋_GB2312" w:eastAsia="仿宋_GB2312" w:cs="仿宋_GB2312"/>
          <w:color w:val="auto"/>
          <w:sz w:val="32"/>
          <w:szCs w:val="32"/>
          <w:lang w:val="en-US" w:eastAsia="zh-CN"/>
        </w:rPr>
        <w:t>2019年末全部金融机构存贷款余额及其增长速度：</w:t>
      </w:r>
    </w:p>
    <w:tbl>
      <w:tblPr>
        <w:tblStyle w:val="5"/>
        <w:tblW w:w="4998" w:type="pct"/>
        <w:tblInd w:w="0" w:type="dxa"/>
        <w:shd w:val="clear" w:color="auto" w:fill="auto"/>
        <w:tblLayout w:type="autofit"/>
        <w:tblCellMar>
          <w:top w:w="0" w:type="dxa"/>
          <w:left w:w="0" w:type="dxa"/>
          <w:bottom w:w="0" w:type="dxa"/>
          <w:right w:w="0" w:type="dxa"/>
        </w:tblCellMar>
      </w:tblPr>
      <w:tblGrid>
        <w:gridCol w:w="4117"/>
        <w:gridCol w:w="2055"/>
        <w:gridCol w:w="2161"/>
      </w:tblGrid>
      <w:tr>
        <w:tblPrEx>
          <w:shd w:val="clear" w:color="auto" w:fill="auto"/>
          <w:tblCellMar>
            <w:top w:w="0" w:type="dxa"/>
            <w:left w:w="0" w:type="dxa"/>
            <w:bottom w:w="0" w:type="dxa"/>
            <w:right w:w="0" w:type="dxa"/>
          </w:tblCellMar>
        </w:tblPrEx>
        <w:trPr>
          <w:trHeight w:val="285" w:hRule="atLeast"/>
        </w:trPr>
        <w:tc>
          <w:tcPr>
            <w:tcW w:w="247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指标名称</w:t>
            </w:r>
          </w:p>
        </w:tc>
        <w:tc>
          <w:tcPr>
            <w:tcW w:w="12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12月末余额</w:t>
            </w:r>
          </w:p>
        </w:tc>
        <w:tc>
          <w:tcPr>
            <w:tcW w:w="129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比年初增加</w:t>
            </w:r>
          </w:p>
        </w:tc>
      </w:tr>
      <w:tr>
        <w:tblPrEx>
          <w:tblCellMar>
            <w:top w:w="0" w:type="dxa"/>
            <w:left w:w="0" w:type="dxa"/>
            <w:bottom w:w="0" w:type="dxa"/>
            <w:right w:w="0" w:type="dxa"/>
          </w:tblCellMar>
        </w:tblPrEx>
        <w:trPr>
          <w:trHeight w:val="285" w:hRule="atLeast"/>
        </w:trPr>
        <w:tc>
          <w:tcPr>
            <w:tcW w:w="247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金融机构各项存款余额（亿元）</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226.12 </w:t>
            </w:r>
          </w:p>
        </w:tc>
        <w:tc>
          <w:tcPr>
            <w:tcW w:w="129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15.16 </w:t>
            </w:r>
          </w:p>
        </w:tc>
      </w:tr>
      <w:tr>
        <w:tblPrEx>
          <w:tblCellMar>
            <w:top w:w="0" w:type="dxa"/>
            <w:left w:w="0" w:type="dxa"/>
            <w:bottom w:w="0" w:type="dxa"/>
            <w:right w:w="0" w:type="dxa"/>
          </w:tblCellMar>
        </w:tblPrEx>
        <w:trPr>
          <w:trHeight w:val="285" w:hRule="atLeast"/>
        </w:trPr>
        <w:tc>
          <w:tcPr>
            <w:tcW w:w="247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境内存款</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226.10 </w:t>
            </w:r>
          </w:p>
        </w:tc>
        <w:tc>
          <w:tcPr>
            <w:tcW w:w="129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15.15 </w:t>
            </w:r>
          </w:p>
        </w:tc>
      </w:tr>
      <w:tr>
        <w:tblPrEx>
          <w:tblCellMar>
            <w:top w:w="0" w:type="dxa"/>
            <w:left w:w="0" w:type="dxa"/>
            <w:bottom w:w="0" w:type="dxa"/>
            <w:right w:w="0" w:type="dxa"/>
          </w:tblCellMar>
        </w:tblPrEx>
        <w:trPr>
          <w:trHeight w:val="285" w:hRule="atLeast"/>
        </w:trPr>
        <w:tc>
          <w:tcPr>
            <w:tcW w:w="247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住户存款</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130.75 </w:t>
            </w:r>
          </w:p>
        </w:tc>
        <w:tc>
          <w:tcPr>
            <w:tcW w:w="129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11.34 </w:t>
            </w:r>
          </w:p>
        </w:tc>
      </w:tr>
      <w:tr>
        <w:tblPrEx>
          <w:tblCellMar>
            <w:top w:w="0" w:type="dxa"/>
            <w:left w:w="0" w:type="dxa"/>
            <w:bottom w:w="0" w:type="dxa"/>
            <w:right w:w="0" w:type="dxa"/>
          </w:tblCellMar>
        </w:tblPrEx>
        <w:trPr>
          <w:trHeight w:val="285" w:hRule="atLeast"/>
        </w:trPr>
        <w:tc>
          <w:tcPr>
            <w:tcW w:w="247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非金融企业存款</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59.37 </w:t>
            </w:r>
          </w:p>
        </w:tc>
        <w:tc>
          <w:tcPr>
            <w:tcW w:w="129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-7.59 </w:t>
            </w:r>
          </w:p>
        </w:tc>
      </w:tr>
      <w:tr>
        <w:tblPrEx>
          <w:tblCellMar>
            <w:top w:w="0" w:type="dxa"/>
            <w:left w:w="0" w:type="dxa"/>
            <w:bottom w:w="0" w:type="dxa"/>
            <w:right w:w="0" w:type="dxa"/>
          </w:tblCellMar>
        </w:tblPrEx>
        <w:trPr>
          <w:trHeight w:val="285" w:hRule="atLeast"/>
        </w:trPr>
        <w:tc>
          <w:tcPr>
            <w:tcW w:w="247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广义政府存款</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35.98 </w:t>
            </w:r>
          </w:p>
        </w:tc>
        <w:tc>
          <w:tcPr>
            <w:tcW w:w="129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11.40 </w:t>
            </w:r>
          </w:p>
        </w:tc>
      </w:tr>
      <w:tr>
        <w:tblPrEx>
          <w:tblCellMar>
            <w:top w:w="0" w:type="dxa"/>
            <w:left w:w="0" w:type="dxa"/>
            <w:bottom w:w="0" w:type="dxa"/>
            <w:right w:w="0" w:type="dxa"/>
          </w:tblCellMar>
        </w:tblPrEx>
        <w:trPr>
          <w:trHeight w:val="285" w:hRule="atLeast"/>
        </w:trPr>
        <w:tc>
          <w:tcPr>
            <w:tcW w:w="247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金融机构各项贷款余额（亿元）</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240.74 </w:t>
            </w:r>
          </w:p>
        </w:tc>
        <w:tc>
          <w:tcPr>
            <w:tcW w:w="129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33.07 </w:t>
            </w:r>
          </w:p>
        </w:tc>
      </w:tr>
      <w:tr>
        <w:tblPrEx>
          <w:tblCellMar>
            <w:top w:w="0" w:type="dxa"/>
            <w:left w:w="0" w:type="dxa"/>
            <w:bottom w:w="0" w:type="dxa"/>
            <w:right w:w="0" w:type="dxa"/>
          </w:tblCellMar>
        </w:tblPrEx>
        <w:trPr>
          <w:trHeight w:val="285" w:hRule="atLeast"/>
        </w:trPr>
        <w:tc>
          <w:tcPr>
            <w:tcW w:w="247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境内贷款</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240.74 </w:t>
            </w:r>
          </w:p>
        </w:tc>
        <w:tc>
          <w:tcPr>
            <w:tcW w:w="129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33.07 </w:t>
            </w:r>
          </w:p>
        </w:tc>
      </w:tr>
      <w:tr>
        <w:tblPrEx>
          <w:tblCellMar>
            <w:top w:w="0" w:type="dxa"/>
            <w:left w:w="0" w:type="dxa"/>
            <w:bottom w:w="0" w:type="dxa"/>
            <w:right w:w="0" w:type="dxa"/>
          </w:tblCellMar>
        </w:tblPrEx>
        <w:trPr>
          <w:trHeight w:val="285" w:hRule="atLeast"/>
        </w:trPr>
        <w:tc>
          <w:tcPr>
            <w:tcW w:w="247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住户贷款</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81.51 </w:t>
            </w:r>
          </w:p>
        </w:tc>
        <w:tc>
          <w:tcPr>
            <w:tcW w:w="129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14.51 </w:t>
            </w:r>
          </w:p>
        </w:tc>
      </w:tr>
      <w:tr>
        <w:tblPrEx>
          <w:tblCellMar>
            <w:top w:w="0" w:type="dxa"/>
            <w:left w:w="0" w:type="dxa"/>
            <w:bottom w:w="0" w:type="dxa"/>
            <w:right w:w="0" w:type="dxa"/>
          </w:tblCellMar>
        </w:tblPrEx>
        <w:trPr>
          <w:trHeight w:val="285" w:hRule="atLeast"/>
        </w:trPr>
        <w:tc>
          <w:tcPr>
            <w:tcW w:w="247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非金融企业及机关团体贷款</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159.23 </w:t>
            </w:r>
          </w:p>
        </w:tc>
        <w:tc>
          <w:tcPr>
            <w:tcW w:w="129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18.56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rPr>
        <w:t>教育、卫生、文化广播电视业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w:t>
      </w:r>
      <w:r>
        <w:rPr>
          <w:rFonts w:hint="eastAsia" w:ascii="仿宋_GB2312" w:hAnsi="仿宋_GB2312" w:eastAsia="仿宋_GB2312" w:cs="仿宋_GB2312"/>
          <w:color w:val="000000" w:themeColor="text1"/>
          <w:sz w:val="32"/>
          <w:szCs w:val="32"/>
          <w14:textFill>
            <w14:solidFill>
              <w14:schemeClr w14:val="tx1"/>
            </w14:solidFill>
          </w14:textFill>
        </w:rPr>
        <w:t>全县共有幼儿园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163</w:t>
      </w:r>
      <w:r>
        <w:rPr>
          <w:rFonts w:hint="eastAsia" w:ascii="仿宋_GB2312" w:hAnsi="仿宋_GB2312" w:eastAsia="仿宋_GB2312" w:cs="仿宋_GB2312"/>
          <w:color w:val="000000" w:themeColor="text1"/>
          <w:sz w:val="32"/>
          <w:szCs w:val="32"/>
          <w14:textFill>
            <w14:solidFill>
              <w14:schemeClr w14:val="tx1"/>
            </w14:solidFill>
          </w14:textFill>
        </w:rPr>
        <w:t>间，幼儿园在校学生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28136</w:t>
      </w:r>
      <w:r>
        <w:rPr>
          <w:rFonts w:hint="eastAsia" w:ascii="仿宋_GB2312" w:hAnsi="仿宋_GB2312" w:eastAsia="仿宋_GB2312" w:cs="仿宋_GB2312"/>
          <w:color w:val="000000" w:themeColor="text1"/>
          <w:sz w:val="32"/>
          <w:szCs w:val="32"/>
          <w14:textFill>
            <w14:solidFill>
              <w14:schemeClr w14:val="tx1"/>
            </w14:solidFill>
          </w14:textFill>
        </w:rPr>
        <w:t>人，幼儿园专职教师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1347</w:t>
      </w:r>
      <w:r>
        <w:rPr>
          <w:rFonts w:hint="eastAsia" w:ascii="仿宋_GB2312" w:hAnsi="仿宋_GB2312" w:eastAsia="仿宋_GB2312" w:cs="仿宋_GB2312"/>
          <w:color w:val="000000" w:themeColor="text1"/>
          <w:sz w:val="32"/>
          <w:szCs w:val="32"/>
          <w14:textFill>
            <w14:solidFill>
              <w14:schemeClr w14:val="tx1"/>
            </w14:solidFill>
          </w14:textFill>
        </w:rPr>
        <w:t>人；小学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191</w:t>
      </w:r>
      <w:r>
        <w:rPr>
          <w:rFonts w:hint="eastAsia" w:ascii="仿宋_GB2312" w:hAnsi="仿宋_GB2312" w:eastAsia="仿宋_GB2312" w:cs="仿宋_GB2312"/>
          <w:color w:val="000000" w:themeColor="text1"/>
          <w:sz w:val="32"/>
          <w:szCs w:val="32"/>
          <w14:textFill>
            <w14:solidFill>
              <w14:schemeClr w14:val="tx1"/>
            </w14:solidFill>
          </w14:textFill>
        </w:rPr>
        <w:t>间，小学在校学生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64914</w:t>
      </w:r>
      <w:r>
        <w:rPr>
          <w:rFonts w:hint="eastAsia" w:ascii="仿宋_GB2312" w:hAnsi="仿宋_GB2312" w:eastAsia="仿宋_GB2312" w:cs="仿宋_GB2312"/>
          <w:color w:val="000000" w:themeColor="text1"/>
          <w:sz w:val="32"/>
          <w:szCs w:val="32"/>
          <w14:textFill>
            <w14:solidFill>
              <w14:schemeClr w14:val="tx1"/>
            </w14:solidFill>
          </w14:textFill>
        </w:rPr>
        <w:t>人，小学专职教师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3223</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中学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w:t>
      </w:r>
      <w:r>
        <w:rPr>
          <w:rFonts w:hint="eastAsia" w:ascii="仿宋_GB2312" w:hAnsi="仿宋_GB2312" w:eastAsia="仿宋_GB2312" w:cs="仿宋_GB2312"/>
          <w:color w:val="000000" w:themeColor="text1"/>
          <w:sz w:val="32"/>
          <w:szCs w:val="32"/>
          <w14:textFill>
            <w14:solidFill>
              <w14:schemeClr w14:val="tx1"/>
            </w14:solidFill>
          </w14:textFill>
        </w:rPr>
        <w:t>间；</w:t>
      </w:r>
      <w:r>
        <w:rPr>
          <w:rFonts w:hint="eastAsia" w:ascii="仿宋_GB2312" w:hAnsi="仿宋_GB2312" w:eastAsia="仿宋_GB2312" w:cs="仿宋_GB2312"/>
          <w:color w:val="000000" w:themeColor="text1"/>
          <w:sz w:val="32"/>
          <w:szCs w:val="32"/>
          <w:lang w:eastAsia="zh-CN"/>
          <w14:textFill>
            <w14:solidFill>
              <w14:schemeClr w14:val="tx1"/>
            </w14:solidFill>
          </w14:textFill>
        </w:rPr>
        <w:t>中学</w:t>
      </w:r>
      <w:r>
        <w:rPr>
          <w:rFonts w:hint="eastAsia" w:ascii="仿宋_GB2312" w:hAnsi="仿宋_GB2312" w:eastAsia="仿宋_GB2312" w:cs="仿宋_GB2312"/>
          <w:color w:val="000000" w:themeColor="text1"/>
          <w:sz w:val="32"/>
          <w:szCs w:val="32"/>
          <w14:textFill>
            <w14:solidFill>
              <w14:schemeClr w14:val="tx1"/>
            </w14:solidFill>
          </w14:textFill>
        </w:rPr>
        <w:t>在校学生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16497</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中学</w:t>
      </w:r>
      <w:r>
        <w:rPr>
          <w:rFonts w:hint="eastAsia" w:ascii="仿宋_GB2312" w:hAnsi="仿宋_GB2312" w:eastAsia="仿宋_GB2312" w:cs="仿宋_GB2312"/>
          <w:color w:val="000000" w:themeColor="text1"/>
          <w:sz w:val="32"/>
          <w:szCs w:val="32"/>
          <w14:textFill>
            <w14:solidFill>
              <w14:schemeClr w14:val="tx1"/>
            </w14:solidFill>
          </w14:textFill>
        </w:rPr>
        <w:t>专职教师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2623</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学龄儿童入学率</w:t>
      </w:r>
      <w:r>
        <w:rPr>
          <w:rFonts w:hint="eastAsia" w:ascii="仿宋_GB2312" w:hAnsi="仿宋_GB2312" w:eastAsia="仿宋_GB2312" w:cs="仿宋_GB2312"/>
          <w:color w:val="000000" w:themeColor="text1"/>
          <w:sz w:val="32"/>
          <w:szCs w:val="32"/>
          <w:lang w:eastAsia="zh-CN"/>
          <w14:textFill>
            <w14:solidFill>
              <w14:schemeClr w14:val="tx1"/>
            </w14:solidFill>
          </w14:textFill>
        </w:rPr>
        <w:t>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全县拥有卫生机构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453</w:t>
      </w:r>
      <w:r>
        <w:rPr>
          <w:rFonts w:hint="eastAsia" w:ascii="仿宋_GB2312" w:hAnsi="仿宋_GB2312" w:eastAsia="仿宋_GB2312" w:cs="仿宋_GB2312"/>
          <w:color w:val="000000" w:themeColor="text1"/>
          <w:sz w:val="32"/>
          <w:szCs w:val="32"/>
          <w14:textFill>
            <w14:solidFill>
              <w14:schemeClr w14:val="tx1"/>
            </w14:solidFill>
          </w14:textFill>
        </w:rPr>
        <w:t>个，卫生机构拥有床位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2429</w:t>
      </w:r>
      <w:r>
        <w:rPr>
          <w:rFonts w:hint="eastAsia" w:ascii="仿宋_GB2312" w:hAnsi="仿宋_GB2312" w:eastAsia="仿宋_GB2312" w:cs="仿宋_GB2312"/>
          <w:color w:val="000000" w:themeColor="text1"/>
          <w:sz w:val="32"/>
          <w:szCs w:val="32"/>
          <w14:textFill>
            <w14:solidFill>
              <w14:schemeClr w14:val="tx1"/>
            </w14:solidFill>
          </w14:textFill>
        </w:rPr>
        <w:t>张，卫生技术人数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3282</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其中，拥有</w:t>
      </w:r>
      <w:r>
        <w:rPr>
          <w:rFonts w:hint="eastAsia" w:ascii="仿宋_GB2312" w:hAnsi="仿宋_GB2312" w:eastAsia="仿宋_GB2312" w:cs="仿宋_GB2312"/>
          <w:color w:val="000000" w:themeColor="text1"/>
          <w:sz w:val="32"/>
          <w:szCs w:val="32"/>
          <w14:textFill>
            <w14:solidFill>
              <w14:schemeClr w14:val="tx1"/>
            </w14:solidFill>
          </w14:textFill>
        </w:rPr>
        <w:t>副高级职称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144</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拥有</w:t>
      </w:r>
      <w:r>
        <w:rPr>
          <w:rFonts w:hint="eastAsia" w:ascii="仿宋_GB2312" w:hAnsi="仿宋_GB2312" w:eastAsia="仿宋_GB2312" w:cs="仿宋_GB2312"/>
          <w:color w:val="000000" w:themeColor="text1"/>
          <w:sz w:val="32"/>
          <w:szCs w:val="32"/>
          <w14:textFill>
            <w14:solidFill>
              <w14:schemeClr w14:val="tx1"/>
            </w14:solidFill>
          </w14:textFill>
        </w:rPr>
        <w:t>中级职称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289</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每千人床位</w:t>
      </w:r>
      <w:r>
        <w:rPr>
          <w:rFonts w:hint="eastAsia" w:ascii="仿宋_GB2312" w:hAnsi="仿宋_GB2312" w:eastAsia="仿宋_GB2312" w:cs="仿宋_GB2312"/>
          <w:color w:val="000000" w:themeColor="text1"/>
          <w:sz w:val="32"/>
          <w:szCs w:val="32"/>
          <w:lang w:eastAsia="zh-CN"/>
          <w14:textFill>
            <w14:solidFill>
              <w14:schemeClr w14:val="tx1"/>
            </w14:solidFill>
          </w14:textFill>
        </w:rPr>
        <w:t>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4.65</w:t>
      </w:r>
      <w:r>
        <w:rPr>
          <w:rFonts w:hint="eastAsia" w:ascii="仿宋_GB2312" w:hAnsi="仿宋_GB2312" w:eastAsia="仿宋_GB2312" w:cs="仿宋_GB2312"/>
          <w:color w:val="000000" w:themeColor="text1"/>
          <w:sz w:val="32"/>
          <w:szCs w:val="32"/>
          <w14:textFill>
            <w14:solidFill>
              <w14:schemeClr w14:val="tx1"/>
            </w14:solidFill>
          </w14:textFill>
        </w:rPr>
        <w:t>张，每千人医务人员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6.28</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全县拥有</w:t>
      </w:r>
      <w:r>
        <w:rPr>
          <w:rFonts w:hint="eastAsia" w:ascii="仿宋_GB2312" w:hAnsi="仿宋_GB2312" w:eastAsia="仿宋_GB2312" w:cs="仿宋_GB2312"/>
          <w:color w:val="000000" w:themeColor="text1"/>
          <w:sz w:val="32"/>
          <w:szCs w:val="32"/>
          <w14:textFill>
            <w14:solidFill>
              <w14:schemeClr w14:val="tx1"/>
            </w14:solidFill>
          </w14:textFill>
        </w:rPr>
        <w:t>执业医师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697</w:t>
      </w:r>
      <w:r>
        <w:rPr>
          <w:rFonts w:hint="eastAsia" w:ascii="仿宋_GB2312" w:hAnsi="仿宋_GB2312" w:eastAsia="仿宋_GB2312" w:cs="仿宋_GB2312"/>
          <w:color w:val="000000" w:themeColor="text1"/>
          <w:sz w:val="32"/>
          <w:szCs w:val="32"/>
          <w14:textFill>
            <w14:solidFill>
              <w14:schemeClr w14:val="tx1"/>
            </w14:solidFill>
          </w14:textFill>
        </w:rPr>
        <w:t>人，注册护士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1291</w:t>
      </w:r>
      <w:r>
        <w:rPr>
          <w:rFonts w:hint="eastAsia" w:ascii="仿宋_GB2312" w:hAnsi="仿宋_GB2312" w:eastAsia="仿宋_GB2312" w:cs="仿宋_GB2312"/>
          <w:color w:val="000000" w:themeColor="text1"/>
          <w:sz w:val="32"/>
          <w:szCs w:val="32"/>
          <w14:textFill>
            <w14:solidFill>
              <w14:schemeClr w14:val="tx1"/>
            </w14:solidFill>
          </w14:textFill>
        </w:rPr>
        <w:t>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十一、</w:t>
      </w:r>
      <w:r>
        <w:rPr>
          <w:rFonts w:hint="eastAsia" w:ascii="黑体" w:hAnsi="黑体" w:eastAsia="黑体" w:cs="黑体"/>
          <w:sz w:val="32"/>
          <w:szCs w:val="32"/>
        </w:rPr>
        <w:t>人口</w:t>
      </w:r>
      <w:r>
        <w:rPr>
          <w:rFonts w:hint="eastAsia" w:ascii="黑体" w:hAnsi="黑体" w:eastAsia="黑体" w:cs="黑体"/>
          <w:sz w:val="32"/>
          <w:szCs w:val="32"/>
          <w:lang w:eastAsia="zh-CN"/>
        </w:rPr>
        <w:t>、就业、</w:t>
      </w:r>
      <w:r>
        <w:rPr>
          <w:rFonts w:hint="eastAsia" w:ascii="黑体" w:hAnsi="黑体" w:eastAsia="黑体" w:cs="黑体"/>
          <w:sz w:val="32"/>
          <w:szCs w:val="32"/>
        </w:rPr>
        <w:t>人民生活</w:t>
      </w:r>
      <w:r>
        <w:rPr>
          <w:rFonts w:hint="eastAsia" w:ascii="黑体" w:hAnsi="黑体" w:eastAsia="黑体" w:cs="黑体"/>
          <w:sz w:val="32"/>
          <w:szCs w:val="32"/>
          <w:lang w:eastAsia="zh-CN"/>
        </w:rPr>
        <w:t>和社会保障</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bCs/>
          <w:color w:val="auto"/>
          <w:sz w:val="32"/>
          <w:szCs w:val="32"/>
          <w:lang w:eastAsia="zh-CN"/>
        </w:rPr>
      </w:pPr>
      <w:r>
        <w:rPr>
          <w:rFonts w:hint="eastAsia" w:ascii="仿宋_GB2312" w:hAnsi="仿宋_GB2312" w:eastAsia="仿宋_GB2312"/>
          <w:bCs/>
          <w:color w:val="auto"/>
          <w:sz w:val="32"/>
          <w:szCs w:val="32"/>
        </w:rPr>
        <w:t>年末常住人口</w:t>
      </w:r>
      <w:r>
        <w:rPr>
          <w:rFonts w:hint="eastAsia" w:ascii="仿宋_GB2312" w:eastAsia="仿宋_GB2312"/>
          <w:bCs/>
          <w:color w:val="auto"/>
          <w:sz w:val="32"/>
          <w:szCs w:val="32"/>
          <w:lang w:val="en-US" w:eastAsia="zh-CN"/>
        </w:rPr>
        <w:t>52.65</w:t>
      </w:r>
      <w:r>
        <w:rPr>
          <w:rFonts w:hint="eastAsia" w:ascii="仿宋_GB2312" w:hAnsi="仿宋_GB2312" w:eastAsia="仿宋_GB2312"/>
          <w:bCs/>
          <w:color w:val="auto"/>
          <w:sz w:val="32"/>
          <w:szCs w:val="32"/>
        </w:rPr>
        <w:t>万人，比上年末增加</w:t>
      </w:r>
      <w:r>
        <w:rPr>
          <w:rFonts w:hint="eastAsia" w:ascii="仿宋_GB2312" w:eastAsia="仿宋_GB2312"/>
          <w:bCs/>
          <w:color w:val="auto"/>
          <w:sz w:val="32"/>
          <w:szCs w:val="32"/>
          <w:lang w:val="en-US" w:eastAsia="zh-CN"/>
        </w:rPr>
        <w:t>0.2</w:t>
      </w:r>
      <w:r>
        <w:rPr>
          <w:rFonts w:hint="eastAsia" w:ascii="仿宋_GB2312" w:eastAsia="仿宋_GB2312"/>
          <w:bCs/>
          <w:color w:val="auto"/>
          <w:sz w:val="32"/>
          <w:szCs w:val="32"/>
        </w:rPr>
        <w:t>万人</w:t>
      </w:r>
      <w:r>
        <w:rPr>
          <w:rFonts w:hint="eastAsia" w:ascii="仿宋_GB2312" w:eastAsia="仿宋_GB2312"/>
          <w:bCs/>
          <w:color w:val="auto"/>
          <w:sz w:val="32"/>
          <w:szCs w:val="32"/>
          <w:lang w:eastAsia="zh-CN"/>
        </w:rPr>
        <w:t>（年平均常住人口为</w:t>
      </w:r>
      <w:r>
        <w:rPr>
          <w:rFonts w:hint="eastAsia" w:ascii="仿宋_GB2312" w:eastAsia="仿宋_GB2312"/>
          <w:bCs/>
          <w:color w:val="auto"/>
          <w:sz w:val="32"/>
          <w:szCs w:val="32"/>
          <w:lang w:val="en-US" w:eastAsia="zh-CN"/>
        </w:rPr>
        <w:t>52.55万人</w:t>
      </w:r>
      <w:r>
        <w:rPr>
          <w:rFonts w:hint="eastAsia" w:ascii="仿宋_GB2312" w:eastAsia="仿宋_GB2312"/>
          <w:bCs/>
          <w:color w:val="auto"/>
          <w:sz w:val="32"/>
          <w:szCs w:val="32"/>
          <w:lang w:eastAsia="zh-CN"/>
        </w:rPr>
        <w:t>）</w:t>
      </w:r>
      <w:r>
        <w:rPr>
          <w:rFonts w:hint="eastAsia" w:ascii="仿宋_GB2312" w:hAnsi="仿宋_GB2312" w:eastAsia="仿宋_GB2312"/>
          <w:bCs/>
          <w:color w:val="auto"/>
          <w:sz w:val="32"/>
          <w:szCs w:val="32"/>
        </w:rPr>
        <w:t>。</w:t>
      </w:r>
      <w:r>
        <w:rPr>
          <w:rFonts w:hint="eastAsia" w:ascii="仿宋_GB2312" w:hAnsi="仿宋_GB2312" w:eastAsia="仿宋_GB2312" w:cs="仿宋_GB2312"/>
          <w:color w:val="auto"/>
          <w:sz w:val="32"/>
          <w:szCs w:val="32"/>
        </w:rPr>
        <w:t>年末全县户籍人口为</w:t>
      </w:r>
      <w:r>
        <w:rPr>
          <w:rFonts w:hint="eastAsia" w:ascii="仿宋_GB2312" w:hAnsi="仿宋_GB2312" w:eastAsia="仿宋_GB2312" w:cs="仿宋_GB2312"/>
          <w:color w:val="auto"/>
          <w:sz w:val="32"/>
          <w:szCs w:val="32"/>
          <w:lang w:val="en-US" w:eastAsia="zh-CN"/>
        </w:rPr>
        <w:t>78.04</w:t>
      </w:r>
      <w:r>
        <w:rPr>
          <w:rFonts w:hint="eastAsia" w:ascii="仿宋_GB2312" w:hAnsi="仿宋_GB2312" w:eastAsia="仿宋_GB2312" w:cs="仿宋_GB2312"/>
          <w:color w:val="auto"/>
          <w:sz w:val="32"/>
          <w:szCs w:val="32"/>
        </w:rPr>
        <w:t>万人</w:t>
      </w:r>
      <w:r>
        <w:rPr>
          <w:rFonts w:hint="eastAsia" w:ascii="仿宋_GB2312" w:hAnsi="仿宋_GB2312" w:eastAsia="仿宋_GB2312" w:cs="仿宋_GB2312"/>
          <w:color w:val="auto"/>
          <w:sz w:val="32"/>
          <w:szCs w:val="32"/>
          <w:lang w:eastAsia="zh-CN"/>
        </w:rPr>
        <w:t>，比上年末增加</w:t>
      </w:r>
      <w:r>
        <w:rPr>
          <w:rFonts w:hint="eastAsia" w:ascii="仿宋_GB2312" w:hAnsi="仿宋_GB2312" w:eastAsia="仿宋_GB2312" w:cs="仿宋_GB2312"/>
          <w:color w:val="auto"/>
          <w:sz w:val="32"/>
          <w:szCs w:val="32"/>
          <w:lang w:val="en-US" w:eastAsia="zh-CN"/>
        </w:rPr>
        <w:t>0.62万人，其中，农村人口为49.85万人，比上年末减少0.71万人，城镇人口为28.19万人，比上年末增加1.33万人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bCs/>
          <w:color w:val="000000" w:themeColor="text1"/>
          <w:sz w:val="32"/>
          <w:szCs w:val="32"/>
          <w14:textFill>
            <w14:solidFill>
              <w14:schemeClr w14:val="tx1"/>
            </w14:solidFill>
          </w14:textFill>
        </w:rPr>
        <w:t>人口出生率</w:t>
      </w:r>
      <w:r>
        <w:rPr>
          <w:rFonts w:hint="eastAsia" w:ascii="仿宋_GB2312" w:eastAsia="仿宋_GB2312"/>
          <w:bCs/>
          <w:color w:val="000000" w:themeColor="text1"/>
          <w:sz w:val="32"/>
          <w:szCs w:val="32"/>
          <w:lang w:val="en-US" w:eastAsia="zh-CN"/>
          <w14:textFill>
            <w14:solidFill>
              <w14:schemeClr w14:val="tx1"/>
            </w14:solidFill>
          </w14:textFill>
        </w:rPr>
        <w:t>12.95</w:t>
      </w:r>
      <w:r>
        <w:rPr>
          <w:rFonts w:hint="eastAsia" w:ascii="仿宋_GB2312" w:eastAsia="仿宋_GB2312"/>
          <w:bCs/>
          <w:color w:val="000000" w:themeColor="text1"/>
          <w:sz w:val="32"/>
          <w:szCs w:val="32"/>
          <w14:textFill>
            <w14:solidFill>
              <w14:schemeClr w14:val="tx1"/>
            </w14:solidFill>
          </w14:textFill>
        </w:rPr>
        <w:t>‰</w:t>
      </w:r>
      <w:r>
        <w:rPr>
          <w:rFonts w:hint="eastAsia" w:ascii="仿宋_GB2312" w:hAnsi="仿宋_GB2312" w:eastAsia="仿宋_GB2312"/>
          <w:bCs/>
          <w:color w:val="000000" w:themeColor="text1"/>
          <w:sz w:val="32"/>
          <w:szCs w:val="32"/>
          <w14:textFill>
            <w14:solidFill>
              <w14:schemeClr w14:val="tx1"/>
            </w14:solidFill>
          </w14:textFill>
        </w:rPr>
        <w:t>，死亡率</w:t>
      </w:r>
      <w:r>
        <w:rPr>
          <w:rFonts w:hint="eastAsia" w:ascii="仿宋_GB2312" w:eastAsia="仿宋_GB2312"/>
          <w:bCs/>
          <w:color w:val="auto"/>
          <w:sz w:val="32"/>
          <w:szCs w:val="32"/>
          <w:lang w:val="en-US" w:eastAsia="zh-CN"/>
        </w:rPr>
        <w:t>5.48</w:t>
      </w:r>
      <w:r>
        <w:rPr>
          <w:rFonts w:hint="eastAsia" w:ascii="仿宋_GB2312" w:eastAsia="仿宋_GB2312"/>
          <w:bCs/>
          <w:color w:val="auto"/>
          <w:sz w:val="32"/>
          <w:szCs w:val="32"/>
        </w:rPr>
        <w:t>‰</w:t>
      </w:r>
      <w:r>
        <w:rPr>
          <w:rFonts w:hint="eastAsia" w:ascii="仿宋_GB2312" w:hAnsi="仿宋_GB2312" w:eastAsia="仿宋_GB2312"/>
          <w:bCs/>
          <w:color w:val="auto"/>
          <w:sz w:val="32"/>
          <w:szCs w:val="32"/>
        </w:rPr>
        <w:t>，自然增长率</w:t>
      </w:r>
      <w:r>
        <w:rPr>
          <w:rFonts w:hint="eastAsia" w:ascii="仿宋_GB2312" w:eastAsia="仿宋_GB2312"/>
          <w:bCs/>
          <w:color w:val="auto"/>
          <w:sz w:val="32"/>
          <w:szCs w:val="32"/>
          <w:lang w:val="en-US" w:eastAsia="zh-CN"/>
        </w:rPr>
        <w:t>7.47</w:t>
      </w:r>
      <w:r>
        <w:rPr>
          <w:rFonts w:hint="eastAsia" w:ascii="仿宋_GB2312" w:eastAsia="仿宋_GB2312"/>
          <w:bCs/>
          <w:color w:val="auto"/>
          <w:sz w:val="32"/>
          <w:szCs w:val="32"/>
        </w:rPr>
        <w:t>‰</w:t>
      </w:r>
      <w:r>
        <w:rPr>
          <w:rFonts w:hint="eastAsia" w:ascii="仿宋_GB2312" w:hAnsi="仿宋_GB2312" w:eastAsia="仿宋_GB2312"/>
          <w:bCs/>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全年</w:t>
      </w:r>
      <w:r>
        <w:rPr>
          <w:rFonts w:hint="eastAsia" w:ascii="仿宋_GB2312" w:hAnsi="仿宋_GB2312" w:eastAsia="仿宋_GB2312" w:cs="仿宋_GB2312"/>
          <w:color w:val="auto"/>
          <w:sz w:val="32"/>
          <w:szCs w:val="32"/>
        </w:rPr>
        <w:t>城镇</w:t>
      </w:r>
      <w:r>
        <w:rPr>
          <w:rFonts w:hint="eastAsia" w:ascii="仿宋_GB2312" w:hAnsi="仿宋_GB2312" w:eastAsia="仿宋_GB2312" w:cs="仿宋_GB2312"/>
          <w:color w:val="auto"/>
          <w:sz w:val="32"/>
          <w:szCs w:val="32"/>
          <w:lang w:eastAsia="zh-CN"/>
        </w:rPr>
        <w:t>常住居民人均可支配收入为</w:t>
      </w:r>
      <w:r>
        <w:rPr>
          <w:rFonts w:hint="eastAsia" w:ascii="仿宋_GB2312" w:hAnsi="仿宋_GB2312" w:eastAsia="仿宋_GB2312" w:cs="仿宋_GB2312"/>
          <w:color w:val="auto"/>
          <w:sz w:val="32"/>
          <w:szCs w:val="32"/>
          <w:lang w:val="en-US" w:eastAsia="zh-CN"/>
        </w:rPr>
        <w:t>32816元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同比</w:t>
      </w:r>
      <w:r>
        <w:rPr>
          <w:rFonts w:hint="eastAsia" w:ascii="仿宋_GB2312" w:hAnsi="仿宋_GB2312" w:eastAsia="仿宋_GB2312" w:cs="仿宋_GB2312"/>
          <w:color w:val="auto"/>
          <w:sz w:val="32"/>
          <w:szCs w:val="32"/>
        </w:rPr>
        <w:t>增长</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rPr>
        <w:t>%；农村常住居民人均可支配收入达到</w:t>
      </w:r>
      <w:r>
        <w:rPr>
          <w:rFonts w:hint="eastAsia" w:ascii="仿宋_GB2312" w:hAnsi="仿宋_GB2312" w:eastAsia="仿宋_GB2312" w:cs="仿宋_GB2312"/>
          <w:color w:val="auto"/>
          <w:sz w:val="32"/>
          <w:szCs w:val="32"/>
          <w:lang w:val="en-US" w:eastAsia="zh-CN"/>
        </w:rPr>
        <w:t>11625</w:t>
      </w:r>
      <w:r>
        <w:rPr>
          <w:rFonts w:hint="eastAsia" w:ascii="仿宋_GB2312" w:hAnsi="仿宋_GB2312" w:eastAsia="仿宋_GB2312" w:cs="仿宋_GB2312"/>
          <w:color w:val="auto"/>
          <w:sz w:val="32"/>
          <w:szCs w:val="32"/>
        </w:rPr>
        <w:t>元，同比增长</w:t>
      </w:r>
      <w:r>
        <w:rPr>
          <w:rFonts w:hint="eastAsia" w:ascii="仿宋_GB2312" w:hAnsi="仿宋_GB2312" w:eastAsia="仿宋_GB2312" w:cs="仿宋_GB2312"/>
          <w:color w:val="auto"/>
          <w:sz w:val="32"/>
          <w:szCs w:val="32"/>
          <w:lang w:val="en-US" w:eastAsia="zh-CN"/>
        </w:rPr>
        <w:t>10.8</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r>
        <w:drawing>
          <wp:anchor distT="0" distB="0" distL="114300" distR="114300" simplePos="0" relativeHeight="251672576" behindDoc="0" locked="0" layoutInCell="1" allowOverlap="1">
            <wp:simplePos x="0" y="0"/>
            <wp:positionH relativeFrom="column">
              <wp:posOffset>13970</wp:posOffset>
            </wp:positionH>
            <wp:positionV relativeFrom="paragraph">
              <wp:posOffset>40640</wp:posOffset>
            </wp:positionV>
            <wp:extent cx="5269865" cy="2329180"/>
            <wp:effectExtent l="5080" t="4445" r="20955" b="9525"/>
            <wp:wrapNone/>
            <wp:docPr id="1746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r>
        <w:drawing>
          <wp:anchor distT="0" distB="0" distL="114300" distR="114300" simplePos="0" relativeHeight="251673600" behindDoc="0" locked="0" layoutInCell="1" allowOverlap="1">
            <wp:simplePos x="0" y="0"/>
            <wp:positionH relativeFrom="column">
              <wp:posOffset>8255</wp:posOffset>
            </wp:positionH>
            <wp:positionV relativeFrom="paragraph">
              <wp:posOffset>5715</wp:posOffset>
            </wp:positionV>
            <wp:extent cx="5273040" cy="2729865"/>
            <wp:effectExtent l="4445" t="4445" r="18415" b="8890"/>
            <wp:wrapNone/>
            <wp:docPr id="1746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全县参加社会保险</w:t>
      </w:r>
      <w:r>
        <w:rPr>
          <w:rFonts w:hint="eastAsia" w:ascii="仿宋_GB2312" w:hAnsi="仿宋_GB2312" w:eastAsia="仿宋_GB2312" w:cs="仿宋_GB2312"/>
          <w:color w:val="000000" w:themeColor="text1"/>
          <w:sz w:val="32"/>
          <w:szCs w:val="32"/>
          <w:lang w:eastAsia="zh-CN"/>
          <w14:textFill>
            <w14:solidFill>
              <w14:schemeClr w14:val="tx1"/>
            </w14:solidFill>
          </w14:textFill>
        </w:rPr>
        <w:t>人数达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47.98万</w:t>
      </w:r>
      <w:r>
        <w:rPr>
          <w:rFonts w:hint="eastAsia" w:ascii="仿宋_GB2312" w:hAnsi="仿宋_GB2312" w:eastAsia="仿宋_GB2312" w:cs="仿宋_GB2312"/>
          <w:color w:val="000000" w:themeColor="text1"/>
          <w:sz w:val="32"/>
          <w:szCs w:val="32"/>
          <w14:textFill>
            <w14:solidFill>
              <w14:schemeClr w14:val="tx1"/>
            </w14:solidFill>
          </w14:textFill>
        </w:rPr>
        <w:t>人，同比增加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3.93万</w:t>
      </w:r>
      <w:r>
        <w:rPr>
          <w:rFonts w:hint="eastAsia" w:ascii="仿宋_GB2312" w:hAnsi="仿宋_GB2312" w:eastAsia="仿宋_GB2312" w:cs="仿宋_GB2312"/>
          <w:color w:val="000000" w:themeColor="text1"/>
          <w:sz w:val="32"/>
          <w:szCs w:val="32"/>
          <w14:textFill>
            <w14:solidFill>
              <w14:schemeClr w14:val="tx1"/>
            </w14:solidFill>
          </w14:textFill>
        </w:rPr>
        <w:t>人，其中：养老保险人数达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39.41万</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同比增加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2.62万人；</w:t>
      </w:r>
      <w:r>
        <w:rPr>
          <w:rFonts w:hint="eastAsia" w:ascii="仿宋_GB2312" w:hAnsi="仿宋_GB2312" w:eastAsia="仿宋_GB2312" w:cs="仿宋_GB2312"/>
          <w:color w:val="000000" w:themeColor="text1"/>
          <w:sz w:val="32"/>
          <w:szCs w:val="32"/>
          <w14:textFill>
            <w14:solidFill>
              <w14:schemeClr w14:val="tx1"/>
            </w14:solidFill>
          </w14:textFill>
        </w:rPr>
        <w:t>失业保险</w:t>
      </w:r>
      <w:r>
        <w:rPr>
          <w:rFonts w:hint="eastAsia" w:ascii="仿宋_GB2312" w:hAnsi="仿宋_GB2312" w:eastAsia="仿宋_GB2312" w:cs="仿宋_GB2312"/>
          <w:color w:val="000000" w:themeColor="text1"/>
          <w:sz w:val="32"/>
          <w:szCs w:val="32"/>
          <w:lang w:eastAsia="zh-CN"/>
          <w14:textFill>
            <w14:solidFill>
              <w14:schemeClr w14:val="tx1"/>
            </w14:solidFill>
          </w14:textFill>
        </w:rPr>
        <w:t>人数达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3.03万</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同比增加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0.55万人；</w:t>
      </w:r>
      <w:r>
        <w:rPr>
          <w:rFonts w:hint="eastAsia" w:ascii="仿宋_GB2312" w:hAnsi="仿宋_GB2312" w:eastAsia="仿宋_GB2312" w:cs="仿宋_GB2312"/>
          <w:color w:val="000000" w:themeColor="text1"/>
          <w:sz w:val="32"/>
          <w:szCs w:val="32"/>
          <w14:textFill>
            <w14:solidFill>
              <w14:schemeClr w14:val="tx1"/>
            </w14:solidFill>
          </w14:textFill>
        </w:rPr>
        <w:t>职工医疗保险</w:t>
      </w:r>
      <w:r>
        <w:rPr>
          <w:rFonts w:hint="eastAsia" w:ascii="仿宋_GB2312" w:hAnsi="仿宋_GB2312" w:eastAsia="仿宋_GB2312" w:cs="仿宋_GB2312"/>
          <w:color w:val="000000" w:themeColor="text1"/>
          <w:sz w:val="32"/>
          <w:szCs w:val="32"/>
          <w:lang w:eastAsia="zh-CN"/>
          <w14:textFill>
            <w14:solidFill>
              <w14:schemeClr w14:val="tx1"/>
            </w14:solidFill>
          </w14:textFill>
        </w:rPr>
        <w:t>人数达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4.92万</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同比增加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0.65人；</w:t>
      </w:r>
      <w:r>
        <w:rPr>
          <w:rFonts w:hint="eastAsia" w:ascii="仿宋_GB2312" w:hAnsi="仿宋_GB2312" w:eastAsia="仿宋_GB2312" w:cs="仿宋_GB2312"/>
          <w:color w:val="000000" w:themeColor="text1"/>
          <w:sz w:val="32"/>
          <w:szCs w:val="32"/>
          <w14:textFill>
            <w14:solidFill>
              <w14:schemeClr w14:val="tx1"/>
            </w14:solidFill>
          </w14:textFill>
        </w:rPr>
        <w:t>居民医疗保险</w:t>
      </w:r>
      <w:r>
        <w:rPr>
          <w:rFonts w:hint="eastAsia" w:ascii="仿宋_GB2312" w:hAnsi="仿宋_GB2312" w:eastAsia="仿宋_GB2312" w:cs="仿宋_GB2312"/>
          <w:color w:val="000000" w:themeColor="text1"/>
          <w:sz w:val="32"/>
          <w:szCs w:val="32"/>
          <w:lang w:eastAsia="zh-CN"/>
          <w14:textFill>
            <w14:solidFill>
              <w14:schemeClr w14:val="tx1"/>
            </w14:solidFill>
          </w14:textFill>
        </w:rPr>
        <w:t>人数达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2.99万</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同比减少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0.16万人；</w:t>
      </w:r>
      <w:r>
        <w:rPr>
          <w:rFonts w:hint="eastAsia" w:ascii="仿宋_GB2312" w:hAnsi="仿宋_GB2312" w:eastAsia="仿宋_GB2312" w:cs="仿宋_GB2312"/>
          <w:color w:val="000000" w:themeColor="text1"/>
          <w:sz w:val="32"/>
          <w:szCs w:val="32"/>
          <w14:textFill>
            <w14:solidFill>
              <w14:schemeClr w14:val="tx1"/>
            </w14:solidFill>
          </w14:textFill>
        </w:rPr>
        <w:t>工伤保险</w:t>
      </w:r>
      <w:r>
        <w:rPr>
          <w:rFonts w:hint="eastAsia" w:ascii="仿宋_GB2312" w:hAnsi="仿宋_GB2312" w:eastAsia="仿宋_GB2312" w:cs="仿宋_GB2312"/>
          <w:color w:val="000000" w:themeColor="text1"/>
          <w:sz w:val="32"/>
          <w:szCs w:val="32"/>
          <w:lang w:eastAsia="zh-CN"/>
          <w14:textFill>
            <w14:solidFill>
              <w14:schemeClr w14:val="tx1"/>
            </w14:solidFill>
          </w14:textFill>
        </w:rPr>
        <w:t>人数达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5.54万</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同比增加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0.75人；</w:t>
      </w:r>
      <w:r>
        <w:rPr>
          <w:rFonts w:hint="eastAsia" w:ascii="仿宋_GB2312" w:hAnsi="仿宋_GB2312" w:eastAsia="仿宋_GB2312" w:cs="仿宋_GB2312"/>
          <w:color w:val="000000" w:themeColor="text1"/>
          <w:sz w:val="32"/>
          <w:szCs w:val="32"/>
          <w14:textFill>
            <w14:solidFill>
              <w14:schemeClr w14:val="tx1"/>
            </w14:solidFill>
          </w14:textFill>
        </w:rPr>
        <w:t>生育保险</w:t>
      </w:r>
      <w:r>
        <w:rPr>
          <w:rFonts w:hint="eastAsia" w:ascii="仿宋_GB2312" w:hAnsi="仿宋_GB2312" w:eastAsia="仿宋_GB2312" w:cs="仿宋_GB2312"/>
          <w:color w:val="000000" w:themeColor="text1"/>
          <w:sz w:val="32"/>
          <w:szCs w:val="32"/>
          <w:lang w:eastAsia="zh-CN"/>
          <w14:textFill>
            <w14:solidFill>
              <w14:schemeClr w14:val="tx1"/>
            </w14:solidFill>
          </w14:textFill>
        </w:rPr>
        <w:t>人数达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4.17万</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，同比增加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0.83万人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rPr>
        <w:t>全县参加农村合作医疗保险</w:t>
      </w:r>
      <w:r>
        <w:rPr>
          <w:rFonts w:hint="eastAsia" w:ascii="仿宋_GB2312" w:hAnsi="仿宋_GB2312" w:eastAsia="仿宋_GB2312" w:cs="仿宋_GB2312"/>
          <w:color w:val="auto"/>
          <w:sz w:val="32"/>
          <w:szCs w:val="32"/>
          <w:lang w:val="en-US" w:eastAsia="zh-CN"/>
        </w:rPr>
        <w:t>65万</w:t>
      </w:r>
      <w:r>
        <w:rPr>
          <w:rFonts w:hint="eastAsia" w:ascii="仿宋_GB2312" w:hAnsi="仿宋_GB2312" w:eastAsia="仿宋_GB2312" w:cs="仿宋_GB2312"/>
          <w:color w:val="auto"/>
          <w:sz w:val="32"/>
          <w:szCs w:val="32"/>
        </w:rPr>
        <w:t>人。</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全县城镇新增就业8300人，比上年增长1.97%，其中失业人员再就业1153人。就业困难人员实现就业712人,转移农村富余劳动力12560人。城镇登记失业率控制在3%以内。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十二、气候、生态</w:t>
      </w:r>
      <w:r>
        <w:rPr>
          <w:rFonts w:hint="eastAsia" w:ascii="黑体" w:hAnsi="黑体" w:eastAsia="黑体" w:cs="黑体"/>
          <w:color w:val="auto"/>
          <w:sz w:val="32"/>
          <w:szCs w:val="32"/>
        </w:rPr>
        <w:t>、环境和安全生产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全年平均气温为14.2℃；全年相对湿度为83%；全年总降水量达1274.1㎜；日照时数为911.5小时。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年末全</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自然保护区</w:t>
      </w:r>
      <w:r>
        <w:rPr>
          <w:rFonts w:hint="eastAsia" w:ascii="仿宋_GB2312" w:hAnsi="仿宋_GB2312" w:eastAsia="仿宋_GB2312" w:cs="仿宋_GB2312"/>
          <w:color w:val="auto"/>
          <w:sz w:val="32"/>
          <w:szCs w:val="32"/>
          <w:lang w:val="en-US" w:eastAsia="zh-CN"/>
        </w:rPr>
        <w:t>1个，自然保护区面积4.31万公顷。全年全县完成营造林任务3.31万亩，年末</w:t>
      </w:r>
      <w:r>
        <w:rPr>
          <w:rFonts w:hint="default" w:ascii="仿宋_GB2312" w:hAnsi="仿宋_GB2312" w:eastAsia="仿宋_GB2312" w:cs="仿宋_GB2312"/>
          <w:color w:val="auto"/>
          <w:sz w:val="32"/>
          <w:szCs w:val="32"/>
          <w:lang w:val="en-US" w:eastAsia="zh-CN"/>
        </w:rPr>
        <w:t>全</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森林覆盖率</w:t>
      </w:r>
      <w:r>
        <w:rPr>
          <w:rFonts w:hint="eastAsia" w:ascii="仿宋_GB2312" w:hAnsi="仿宋_GB2312" w:eastAsia="仿宋_GB2312" w:cs="仿宋_GB2312"/>
          <w:color w:val="auto"/>
          <w:sz w:val="32"/>
          <w:szCs w:val="32"/>
          <w:lang w:val="en-US" w:eastAsia="zh-CN"/>
        </w:rPr>
        <w:t>57.66</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全县集中式饮用水源地水质达标率达100%（水务局）；城</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乡生活垃圾无害化处理率达91.64%（执法局）；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城市（县城）环境空气质量达标率达98.3%（环保局）。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全年</w:t>
      </w:r>
      <w:r>
        <w:rPr>
          <w:rFonts w:hint="eastAsia" w:ascii="仿宋_GB2312" w:hAnsi="仿宋_GB2312" w:eastAsia="仿宋_GB2312" w:cs="仿宋_GB2312"/>
          <w:color w:val="auto"/>
          <w:sz w:val="32"/>
          <w:szCs w:val="32"/>
          <w:lang w:eastAsia="zh-CN"/>
        </w:rPr>
        <w:t>发生</w:t>
      </w:r>
      <w:r>
        <w:rPr>
          <w:rFonts w:hint="eastAsia" w:ascii="仿宋_GB2312" w:hAnsi="仿宋_GB2312" w:eastAsia="仿宋_GB2312" w:cs="仿宋_GB2312"/>
          <w:color w:val="auto"/>
          <w:sz w:val="32"/>
          <w:szCs w:val="32"/>
        </w:rPr>
        <w:t>安全生产事故</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起，同比下降</w:t>
      </w:r>
      <w:r>
        <w:rPr>
          <w:rFonts w:hint="eastAsia" w:ascii="仿宋_GB2312" w:hAnsi="仿宋_GB2312" w:eastAsia="仿宋_GB2312" w:cs="仿宋_GB2312"/>
          <w:color w:val="auto"/>
          <w:sz w:val="32"/>
          <w:szCs w:val="32"/>
          <w:lang w:val="en-US" w:eastAsia="zh-CN"/>
        </w:rPr>
        <w:t>45.5</w:t>
      </w:r>
      <w:r>
        <w:rPr>
          <w:rFonts w:hint="eastAsia" w:ascii="仿宋_GB2312" w:hAnsi="仿宋_GB2312" w:eastAsia="仿宋_GB2312" w:cs="仿宋_GB2312"/>
          <w:color w:val="auto"/>
          <w:sz w:val="32"/>
          <w:szCs w:val="32"/>
        </w:rPr>
        <w:t>%，造成</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人死亡，同比下降</w:t>
      </w:r>
      <w:r>
        <w:rPr>
          <w:rFonts w:hint="eastAsia" w:ascii="仿宋_GB2312" w:hAnsi="仿宋_GB2312" w:eastAsia="仿宋_GB2312" w:cs="仿宋_GB2312"/>
          <w:color w:val="auto"/>
          <w:sz w:val="32"/>
          <w:szCs w:val="32"/>
          <w:lang w:val="en-US" w:eastAsia="zh-CN"/>
        </w:rPr>
        <w:t>41.67</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adjustRightInd/>
        <w:snapToGrid/>
        <w:spacing w:before="0" w:line="500" w:lineRule="exact"/>
        <w:jc w:val="both"/>
        <w:textAlignment w:val="auto"/>
        <w:rPr>
          <w:rFonts w:eastAsia="仿宋_GB2312"/>
          <w:color w:val="000000"/>
          <w:sz w:val="32"/>
          <w:szCs w:val="32"/>
        </w:rPr>
      </w:pPr>
      <w:r>
        <w:rPr>
          <w:rFonts w:eastAsia="仿宋_GB2312"/>
          <w:color w:val="000000"/>
          <w:sz w:val="32"/>
          <w:szCs w:val="32"/>
        </w:rPr>
        <w:t>注释：</w:t>
      </w:r>
    </w:p>
    <w:p>
      <w:pPr>
        <w:pStyle w:val="4"/>
        <w:keepNext w:val="0"/>
        <w:keepLines w:val="0"/>
        <w:pageBreakBefore w:val="0"/>
        <w:widowControl w:val="0"/>
        <w:kinsoku/>
        <w:wordWrap/>
        <w:overflowPunct/>
        <w:topLinePunct w:val="0"/>
        <w:autoSpaceDE/>
        <w:autoSpaceDN/>
        <w:bidi w:val="0"/>
        <w:adjustRightInd/>
        <w:snapToGrid/>
        <w:spacing w:before="0" w:line="500" w:lineRule="exact"/>
        <w:jc w:val="both"/>
        <w:textAlignment w:val="auto"/>
        <w:rPr>
          <w:rFonts w:hint="eastAsia" w:ascii="仿宋_GB2312" w:hAnsi="仿宋_GB2312" w:eastAsia="仿宋_GB2312" w:cs="仿宋_GB2312"/>
          <w:color w:val="000000"/>
          <w:sz w:val="32"/>
          <w:szCs w:val="32"/>
        </w:rPr>
      </w:pPr>
      <w:r>
        <w:rPr>
          <w:rFonts w:eastAsia="仿宋_GB2312"/>
          <w:color w:val="000000"/>
          <w:sz w:val="32"/>
          <w:szCs w:val="32"/>
        </w:rPr>
        <w:t>   </w:t>
      </w:r>
      <w:r>
        <w:rPr>
          <w:rFonts w:hint="eastAsia" w:ascii="仿宋_GB2312" w:hAnsi="仿宋_GB2312" w:eastAsia="仿宋_GB2312" w:cs="仿宋_GB2312"/>
          <w:color w:val="000000"/>
          <w:sz w:val="32"/>
          <w:szCs w:val="32"/>
        </w:rPr>
        <w:t>   1.本公报中数据均为初步统计数。</w:t>
      </w:r>
    </w:p>
    <w:p>
      <w:pPr>
        <w:pStyle w:val="4"/>
        <w:keepNext w:val="0"/>
        <w:keepLines w:val="0"/>
        <w:pageBreakBefore w:val="0"/>
        <w:widowControl w:val="0"/>
        <w:kinsoku/>
        <w:wordWrap/>
        <w:overflowPunct/>
        <w:topLinePunct w:val="0"/>
        <w:autoSpaceDE/>
        <w:autoSpaceDN/>
        <w:bidi w:val="0"/>
        <w:adjustRightInd/>
        <w:snapToGrid/>
        <w:spacing w:before="0" w:line="5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2.地区生产总值、规模以上工业增加值及其分类项目增长速度按可比价计算，为实际增长速度；其他指标除特殊说明外，按现价计算，为名义增长速度。</w:t>
      </w:r>
    </w:p>
    <w:p>
      <w:pPr>
        <w:pStyle w:val="4"/>
        <w:keepNext w:val="0"/>
        <w:keepLines w:val="0"/>
        <w:pageBreakBefore w:val="0"/>
        <w:widowControl w:val="0"/>
        <w:kinsoku/>
        <w:wordWrap/>
        <w:overflowPunct/>
        <w:topLinePunct w:val="0"/>
        <w:autoSpaceDE/>
        <w:autoSpaceDN/>
        <w:bidi w:val="0"/>
        <w:adjustRightInd/>
        <w:snapToGrid/>
        <w:spacing w:before="0" w:line="50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3.地区生产总值是指一个地区内所有常住单位在一定时期内生产的全部最终产品和服务的价值总和。</w:t>
      </w:r>
    </w:p>
    <w:p>
      <w:pPr>
        <w:pStyle w:val="4"/>
        <w:keepNext w:val="0"/>
        <w:keepLines w:val="0"/>
        <w:pageBreakBefore w:val="0"/>
        <w:widowControl w:val="0"/>
        <w:kinsoku/>
        <w:wordWrap/>
        <w:overflowPunct/>
        <w:topLinePunct w:val="0"/>
        <w:autoSpaceDE/>
        <w:autoSpaceDN/>
        <w:bidi w:val="0"/>
        <w:adjustRightInd/>
        <w:snapToGrid/>
        <w:spacing w:before="0" w:line="50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4.2016年后，建档立卡贫困人口登记开展动态调整，存在新识别、返贫、人口自然增减影响，上下年度数据与减少贫困人口数据不闭合。</w:t>
      </w:r>
    </w:p>
    <w:p>
      <w:pPr>
        <w:pStyle w:val="4"/>
        <w:keepNext w:val="0"/>
        <w:keepLines w:val="0"/>
        <w:pageBreakBefore w:val="0"/>
        <w:widowControl w:val="0"/>
        <w:kinsoku/>
        <w:wordWrap/>
        <w:overflowPunct/>
        <w:topLinePunct w:val="0"/>
        <w:autoSpaceDE/>
        <w:autoSpaceDN/>
        <w:bidi w:val="0"/>
        <w:adjustRightInd/>
        <w:snapToGrid/>
        <w:spacing w:before="0" w:line="50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固定资产投资的统计范围为计划总投资500万元以上的固定资产项目投资及所有房地产开发项目投资。固定资产投资是指以货币形式表现的在一定时期内完成的建造和购置固定资产的工作量以及与此有关的费用的总称。</w:t>
      </w:r>
    </w:p>
    <w:p>
      <w:pPr>
        <w:pStyle w:val="4"/>
        <w:keepNext w:val="0"/>
        <w:keepLines w:val="0"/>
        <w:pageBreakBefore w:val="0"/>
        <w:widowControl w:val="0"/>
        <w:kinsoku/>
        <w:wordWrap/>
        <w:overflowPunct/>
        <w:topLinePunct w:val="0"/>
        <w:autoSpaceDE/>
        <w:autoSpaceDN/>
        <w:bidi w:val="0"/>
        <w:adjustRightInd/>
        <w:snapToGrid/>
        <w:spacing w:before="0" w:line="50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6.规模以上工业的统计范围为年主营业务收入2000万元及以上的工业企业。</w:t>
      </w:r>
    </w:p>
    <w:p>
      <w:pPr>
        <w:pStyle w:val="4"/>
        <w:keepNext w:val="0"/>
        <w:keepLines w:val="0"/>
        <w:pageBreakBefore w:val="0"/>
        <w:widowControl w:val="0"/>
        <w:kinsoku/>
        <w:wordWrap/>
        <w:overflowPunct/>
        <w:topLinePunct w:val="0"/>
        <w:autoSpaceDE/>
        <w:autoSpaceDN/>
        <w:bidi w:val="0"/>
        <w:adjustRightInd/>
        <w:snapToGrid/>
        <w:spacing w:before="0" w:line="5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7.社会消费品零售总额统计中限额以上单位是指年主营业务收入2000万元及以上的批发业企业（单位）、500万元及以上的零售业企业（单位）、200万元及以上的住宿和餐饮业企业（单位）。</w:t>
      </w:r>
    </w:p>
    <w:p>
      <w:pPr>
        <w:pStyle w:val="4"/>
        <w:keepNext w:val="0"/>
        <w:keepLines w:val="0"/>
        <w:pageBreakBefore w:val="0"/>
        <w:widowControl w:val="0"/>
        <w:kinsoku/>
        <w:wordWrap/>
        <w:overflowPunct/>
        <w:topLinePunct w:val="0"/>
        <w:autoSpaceDE/>
        <w:autoSpaceDN/>
        <w:bidi w:val="0"/>
        <w:adjustRightInd/>
        <w:snapToGrid/>
        <w:spacing w:before="0" w:line="50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8.社会消费品零售总额包括实物商品网上零售额，不包括非实物商品网上零售额。</w:t>
      </w:r>
    </w:p>
    <w:p>
      <w:pPr>
        <w:pStyle w:val="4"/>
        <w:keepNext w:val="0"/>
        <w:keepLines w:val="0"/>
        <w:pageBreakBefore w:val="0"/>
        <w:widowControl w:val="0"/>
        <w:kinsoku/>
        <w:wordWrap/>
        <w:overflowPunct/>
        <w:topLinePunct w:val="0"/>
        <w:autoSpaceDE/>
        <w:autoSpaceDN/>
        <w:bidi w:val="0"/>
        <w:adjustRightInd/>
        <w:snapToGrid/>
        <w:spacing w:before="0" w:line="50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9.居民消费价格指数是指反映一定时期内城乡居民所购买的生活消费品价格和服务项目价格变动趋势和程度的相对数。</w:t>
      </w:r>
    </w:p>
    <w:p>
      <w:pPr>
        <w:pStyle w:val="4"/>
        <w:keepNext w:val="0"/>
        <w:keepLines w:val="0"/>
        <w:pageBreakBefore w:val="0"/>
        <w:widowControl w:val="0"/>
        <w:kinsoku/>
        <w:wordWrap/>
        <w:overflowPunct/>
        <w:topLinePunct w:val="0"/>
        <w:autoSpaceDE/>
        <w:autoSpaceDN/>
        <w:bidi w:val="0"/>
        <w:adjustRightInd/>
        <w:snapToGrid/>
        <w:spacing w:before="0" w:line="50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 xml:space="preserve">    10.部分数据因四舍五入的原因，存在总计与分项合计不等的情况。</w:t>
      </w: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A86069"/>
    <w:rsid w:val="00522F56"/>
    <w:rsid w:val="01186CDB"/>
    <w:rsid w:val="01C67FE5"/>
    <w:rsid w:val="01D37A9D"/>
    <w:rsid w:val="01ED3261"/>
    <w:rsid w:val="0346086F"/>
    <w:rsid w:val="03AC0FA0"/>
    <w:rsid w:val="041315E4"/>
    <w:rsid w:val="06196072"/>
    <w:rsid w:val="06CF196C"/>
    <w:rsid w:val="06F24BB7"/>
    <w:rsid w:val="06FA6A23"/>
    <w:rsid w:val="075E70D6"/>
    <w:rsid w:val="080B2C3D"/>
    <w:rsid w:val="08124C5F"/>
    <w:rsid w:val="09CF3C74"/>
    <w:rsid w:val="09F661DD"/>
    <w:rsid w:val="0A444D23"/>
    <w:rsid w:val="0A606D8B"/>
    <w:rsid w:val="0A7F7AF2"/>
    <w:rsid w:val="0A8C6DF3"/>
    <w:rsid w:val="0A9D64A0"/>
    <w:rsid w:val="0AB0753B"/>
    <w:rsid w:val="0B800A78"/>
    <w:rsid w:val="0BA96DA3"/>
    <w:rsid w:val="0BE51109"/>
    <w:rsid w:val="0C1E5227"/>
    <w:rsid w:val="0D80174D"/>
    <w:rsid w:val="0E8521FC"/>
    <w:rsid w:val="101C6EC1"/>
    <w:rsid w:val="10920E37"/>
    <w:rsid w:val="10AB29C8"/>
    <w:rsid w:val="11AC3CF3"/>
    <w:rsid w:val="12560788"/>
    <w:rsid w:val="125F3978"/>
    <w:rsid w:val="13B12C59"/>
    <w:rsid w:val="13F22D32"/>
    <w:rsid w:val="15BB4646"/>
    <w:rsid w:val="15F80BD3"/>
    <w:rsid w:val="164D02DB"/>
    <w:rsid w:val="164E0306"/>
    <w:rsid w:val="16650FA5"/>
    <w:rsid w:val="170478A2"/>
    <w:rsid w:val="18662FE3"/>
    <w:rsid w:val="18AA3C10"/>
    <w:rsid w:val="19565568"/>
    <w:rsid w:val="198408A4"/>
    <w:rsid w:val="19956E25"/>
    <w:rsid w:val="19BC580F"/>
    <w:rsid w:val="19EF025A"/>
    <w:rsid w:val="1A1D61FF"/>
    <w:rsid w:val="1A215A7A"/>
    <w:rsid w:val="1A6A2D5A"/>
    <w:rsid w:val="1B0A7D13"/>
    <w:rsid w:val="1B273C8C"/>
    <w:rsid w:val="1BB05E31"/>
    <w:rsid w:val="1BDB3A94"/>
    <w:rsid w:val="1CFD5944"/>
    <w:rsid w:val="1D024396"/>
    <w:rsid w:val="1FE70076"/>
    <w:rsid w:val="22445BC9"/>
    <w:rsid w:val="227D5F9C"/>
    <w:rsid w:val="230744C0"/>
    <w:rsid w:val="23C66183"/>
    <w:rsid w:val="23E81F6B"/>
    <w:rsid w:val="24C43DC4"/>
    <w:rsid w:val="253C3986"/>
    <w:rsid w:val="275337CD"/>
    <w:rsid w:val="282B52A9"/>
    <w:rsid w:val="29614CD4"/>
    <w:rsid w:val="29CA5115"/>
    <w:rsid w:val="2A8C7CC4"/>
    <w:rsid w:val="2BA848CE"/>
    <w:rsid w:val="2CFD1F46"/>
    <w:rsid w:val="2EFC51C0"/>
    <w:rsid w:val="2F09646E"/>
    <w:rsid w:val="2F55630A"/>
    <w:rsid w:val="306D3D4B"/>
    <w:rsid w:val="309D24F6"/>
    <w:rsid w:val="31A4199A"/>
    <w:rsid w:val="328D2973"/>
    <w:rsid w:val="329A7ADB"/>
    <w:rsid w:val="33411EA0"/>
    <w:rsid w:val="338D34EE"/>
    <w:rsid w:val="33AA4413"/>
    <w:rsid w:val="33B415A8"/>
    <w:rsid w:val="340A19B9"/>
    <w:rsid w:val="35013D09"/>
    <w:rsid w:val="35313CFB"/>
    <w:rsid w:val="35BA6F3C"/>
    <w:rsid w:val="35C64CD8"/>
    <w:rsid w:val="35E17B52"/>
    <w:rsid w:val="38B12FF5"/>
    <w:rsid w:val="39752831"/>
    <w:rsid w:val="39B46A91"/>
    <w:rsid w:val="3A9350CE"/>
    <w:rsid w:val="3AEC6321"/>
    <w:rsid w:val="3C9F13DE"/>
    <w:rsid w:val="3CCD08E4"/>
    <w:rsid w:val="3CF77BAC"/>
    <w:rsid w:val="3DAE4D83"/>
    <w:rsid w:val="3DBB6017"/>
    <w:rsid w:val="3F235FD6"/>
    <w:rsid w:val="3F524E5A"/>
    <w:rsid w:val="420633FD"/>
    <w:rsid w:val="425711EF"/>
    <w:rsid w:val="429D6726"/>
    <w:rsid w:val="430C276B"/>
    <w:rsid w:val="43144F62"/>
    <w:rsid w:val="432A3CC3"/>
    <w:rsid w:val="4395253C"/>
    <w:rsid w:val="440D43CE"/>
    <w:rsid w:val="44C006CE"/>
    <w:rsid w:val="44C80E66"/>
    <w:rsid w:val="44EC7BA5"/>
    <w:rsid w:val="451C296E"/>
    <w:rsid w:val="453D0293"/>
    <w:rsid w:val="46532C00"/>
    <w:rsid w:val="465370CC"/>
    <w:rsid w:val="46634601"/>
    <w:rsid w:val="469B5EDC"/>
    <w:rsid w:val="46D2272D"/>
    <w:rsid w:val="475961E7"/>
    <w:rsid w:val="47687B5D"/>
    <w:rsid w:val="47977F3A"/>
    <w:rsid w:val="48436C16"/>
    <w:rsid w:val="485807FF"/>
    <w:rsid w:val="49D11A8A"/>
    <w:rsid w:val="4B205FB6"/>
    <w:rsid w:val="4B7817F3"/>
    <w:rsid w:val="4CB1485A"/>
    <w:rsid w:val="4CB52420"/>
    <w:rsid w:val="4D286B44"/>
    <w:rsid w:val="4D292032"/>
    <w:rsid w:val="4D41421E"/>
    <w:rsid w:val="4E06014F"/>
    <w:rsid w:val="4ED9254A"/>
    <w:rsid w:val="4F7C4ABB"/>
    <w:rsid w:val="4F9C4C1B"/>
    <w:rsid w:val="4FB52933"/>
    <w:rsid w:val="50467E50"/>
    <w:rsid w:val="506E1F9A"/>
    <w:rsid w:val="50C64DF7"/>
    <w:rsid w:val="50F70D7F"/>
    <w:rsid w:val="512902E6"/>
    <w:rsid w:val="516F19D2"/>
    <w:rsid w:val="52271712"/>
    <w:rsid w:val="52630FE2"/>
    <w:rsid w:val="52CE084F"/>
    <w:rsid w:val="532E275F"/>
    <w:rsid w:val="54192AE6"/>
    <w:rsid w:val="560C3E3D"/>
    <w:rsid w:val="56190146"/>
    <w:rsid w:val="57263B39"/>
    <w:rsid w:val="58405ACA"/>
    <w:rsid w:val="59EA0DAF"/>
    <w:rsid w:val="5A5F5A19"/>
    <w:rsid w:val="5AF50640"/>
    <w:rsid w:val="5BAF00E9"/>
    <w:rsid w:val="5C3726C9"/>
    <w:rsid w:val="5C5A5E13"/>
    <w:rsid w:val="5C6365DB"/>
    <w:rsid w:val="5CBB0C7F"/>
    <w:rsid w:val="5CC33EA2"/>
    <w:rsid w:val="5CCD3AEE"/>
    <w:rsid w:val="5CD26EF1"/>
    <w:rsid w:val="5D6D40F9"/>
    <w:rsid w:val="5D8C6891"/>
    <w:rsid w:val="5DE731FA"/>
    <w:rsid w:val="5E0C0C1C"/>
    <w:rsid w:val="5E4157CB"/>
    <w:rsid w:val="5E5532E6"/>
    <w:rsid w:val="5EAC295A"/>
    <w:rsid w:val="5F8B144A"/>
    <w:rsid w:val="5FDE4B34"/>
    <w:rsid w:val="600A6A89"/>
    <w:rsid w:val="60DD5305"/>
    <w:rsid w:val="614C7032"/>
    <w:rsid w:val="616E61DD"/>
    <w:rsid w:val="61A52637"/>
    <w:rsid w:val="620C5DA5"/>
    <w:rsid w:val="62577E4B"/>
    <w:rsid w:val="62657BF0"/>
    <w:rsid w:val="62A640C0"/>
    <w:rsid w:val="62A84918"/>
    <w:rsid w:val="62E12479"/>
    <w:rsid w:val="64170DD3"/>
    <w:rsid w:val="64CC291E"/>
    <w:rsid w:val="64D74599"/>
    <w:rsid w:val="64FF74E9"/>
    <w:rsid w:val="65C91304"/>
    <w:rsid w:val="662842EE"/>
    <w:rsid w:val="668866D8"/>
    <w:rsid w:val="693D4AE4"/>
    <w:rsid w:val="6A7E0D84"/>
    <w:rsid w:val="6C845143"/>
    <w:rsid w:val="6CBF7827"/>
    <w:rsid w:val="6D1F2904"/>
    <w:rsid w:val="6D6C7C50"/>
    <w:rsid w:val="6E9F0ED9"/>
    <w:rsid w:val="6ED40398"/>
    <w:rsid w:val="6FB01EB2"/>
    <w:rsid w:val="6FE84D61"/>
    <w:rsid w:val="707A3852"/>
    <w:rsid w:val="70BB093B"/>
    <w:rsid w:val="71BC6F59"/>
    <w:rsid w:val="72663900"/>
    <w:rsid w:val="72C40EC7"/>
    <w:rsid w:val="732C35A4"/>
    <w:rsid w:val="73E62A95"/>
    <w:rsid w:val="74C33EDD"/>
    <w:rsid w:val="751618F4"/>
    <w:rsid w:val="75A86069"/>
    <w:rsid w:val="76655D41"/>
    <w:rsid w:val="77113B80"/>
    <w:rsid w:val="77BB3AD5"/>
    <w:rsid w:val="78375B13"/>
    <w:rsid w:val="78F27D76"/>
    <w:rsid w:val="79E94457"/>
    <w:rsid w:val="7A44616C"/>
    <w:rsid w:val="7A545985"/>
    <w:rsid w:val="7B444972"/>
    <w:rsid w:val="7BBB4647"/>
    <w:rsid w:val="7BDE0145"/>
    <w:rsid w:val="7C2565FD"/>
    <w:rsid w:val="7CF70E45"/>
    <w:rsid w:val="7DA73BB0"/>
    <w:rsid w:val="7DF6671D"/>
    <w:rsid w:val="7E41063C"/>
    <w:rsid w:val="7E8C11C5"/>
    <w:rsid w:val="7F6366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75" w:beforeAutospacing="0" w:after="0" w:afterAutospacing="0"/>
      <w:ind w:left="0" w:right="0"/>
      <w:jc w:val="left"/>
    </w:pPr>
    <w:rPr>
      <w:kern w:val="0"/>
      <w:sz w:val="24"/>
      <w:lang w:val="en-US" w:eastAsia="zh-CN" w:bidi="ar"/>
    </w:rPr>
  </w:style>
  <w:style w:type="character" w:styleId="7">
    <w:name w:val="FollowedHyperlink"/>
    <w:basedOn w:val="6"/>
    <w:qFormat/>
    <w:uiPriority w:val="0"/>
    <w:rPr>
      <w:color w:val="4E4E4E"/>
      <w:u w:val="none"/>
    </w:rPr>
  </w:style>
  <w:style w:type="character" w:styleId="8">
    <w:name w:val="Hyperlink"/>
    <w:basedOn w:val="6"/>
    <w:qFormat/>
    <w:uiPriority w:val="0"/>
    <w:rPr>
      <w:color w:val="4E4E4E"/>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I:\6&#26376;19&#26085;\2020&#24180;\&#32508;&#21512;\&#20844;&#25253;\&#20844;&#25253;&#22522;&#30784;&#34920;&#26684;.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I:\6&#26376;19&#26085;\2020&#24180;\&#32508;&#21512;\&#20844;&#25253;\&#20844;&#25253;&#22522;&#30784;&#34920;&#26684;.xls" TargetMode="External"/></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oleObject" Target="file:///I:\6&#26376;19&#26085;\2020&#24180;\&#32508;&#21512;\&#20844;&#25253;\&#20844;&#25253;&#22522;&#30784;&#34920;&#26684;.xls" TargetMode="External"/></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file:///I:\6&#26376;19&#26085;\2020&#24180;\&#32508;&#21512;\&#20844;&#25253;\&#20844;&#25253;&#22522;&#30784;&#34920;&#26684;.xls" TargetMode="External"/></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oleObject" Target="file:///I:\6&#26376;19&#26085;\2020&#24180;\&#32508;&#21512;\&#20844;&#25253;\&#20844;&#25253;&#22522;&#30784;&#34920;&#26684;.xls" TargetMode="External"/></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I:\6&#26376;19&#26085;\2020&#24180;\&#32508;&#21512;\&#20844;&#25253;\&#20844;&#25253;&#22522;&#30784;&#34920;&#26684;.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I:\6&#26376;19&#26085;\2020&#24180;\&#32508;&#21512;\&#20844;&#25253;\&#20844;&#25253;&#22522;&#30784;&#34920;&#26684;.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I:\6&#26376;19&#26085;\2020&#24180;\&#32508;&#21512;\&#20844;&#25253;\&#20844;&#25253;&#22522;&#30784;&#34920;&#26684;.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I:\6&#26376;19&#26085;\2020&#24180;\&#32508;&#21512;\&#20844;&#25253;\&#20844;&#25253;&#22522;&#30784;&#34920;&#2668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b="0" i="0" u="none" strike="noStrike" baseline="0">
                <a:solidFill>
                  <a:srgbClr val="333333"/>
                </a:solidFill>
                <a:latin typeface="黑体" panose="02010609060101010101" charset="-122"/>
                <a:ea typeface="黑体" panose="02010609060101010101" charset="-122"/>
                <a:cs typeface="黑体" panose="02010609060101010101" charset="-122"/>
              </a:rPr>
              <a:t>201</a:t>
            </a:r>
            <a:r>
              <a:rPr lang="en-US" altLang="zh-CN" sz="1200" b="0" i="0" u="none" strike="noStrike" baseline="0">
                <a:solidFill>
                  <a:srgbClr val="333333"/>
                </a:solidFill>
                <a:latin typeface="黑体" panose="02010609060101010101" charset="-122"/>
                <a:ea typeface="黑体" panose="02010609060101010101" charset="-122"/>
                <a:cs typeface="黑体" panose="02010609060101010101" charset="-122"/>
              </a:rPr>
              <a:t>8</a:t>
            </a:r>
            <a:r>
              <a:rPr sz="1200" b="0" i="0" u="none" strike="noStrike" baseline="0">
                <a:solidFill>
                  <a:srgbClr val="333333"/>
                </a:solidFill>
                <a:latin typeface="黑体" panose="02010609060101010101" charset="-122"/>
                <a:ea typeface="黑体" panose="02010609060101010101" charset="-122"/>
                <a:cs typeface="黑体" panose="02010609060101010101" charset="-122"/>
              </a:rPr>
              <a:t>-201</a:t>
            </a:r>
            <a:r>
              <a:rPr lang="en-US" altLang="zh-CN" sz="1200" b="0" i="0" u="none" strike="noStrike" baseline="0">
                <a:solidFill>
                  <a:srgbClr val="333333"/>
                </a:solidFill>
                <a:latin typeface="黑体" panose="02010609060101010101" charset="-122"/>
                <a:ea typeface="黑体" panose="02010609060101010101" charset="-122"/>
                <a:cs typeface="黑体" panose="02010609060101010101" charset="-122"/>
              </a:rPr>
              <a:t>9</a:t>
            </a:r>
            <a:r>
              <a:rPr sz="1200" b="0" i="0" u="none" strike="noStrike" baseline="0">
                <a:solidFill>
                  <a:srgbClr val="333333"/>
                </a:solidFill>
                <a:latin typeface="黑体" panose="02010609060101010101" charset="-122"/>
                <a:ea typeface="黑体" panose="02010609060101010101" charset="-122"/>
                <a:cs typeface="黑体" panose="02010609060101010101" charset="-122"/>
              </a:rPr>
              <a:t>年全县地区生产总值及其增长速度</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[公报基础表格.xls]GDP!$B$10</c:f>
              <c:strCache>
                <c:ptCount val="1"/>
                <c:pt idx="0">
                  <c:v>地区生产总值（亿元）</c:v>
                </c:pt>
              </c:strCache>
            </c:strRef>
          </c:tx>
          <c:spPr>
            <a:gradFill flip="none" rotWithShape="1">
              <a:gsLst>
                <a:gs pos="0">
                  <a:srgbClr val="FECF40"/>
                </a:gs>
                <a:gs pos="100000">
                  <a:srgbClr val="846C21"/>
                </a:gs>
              </a:gsLst>
              <a:lin ang="5400000" scaled="0"/>
            </a:gradFill>
            <a:ln>
              <a:noFill/>
            </a:ln>
            <a:effectLst/>
          </c:spPr>
          <c:invertIfNegative val="0"/>
          <c:dLbls>
            <c:dLbl>
              <c:idx val="0"/>
              <c:layout>
                <c:manualLayout>
                  <c:x val="0.118571983428275"/>
                  <c:y val="0.12200838884776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03177326083204"/>
                  <c:y val="0.13260659892784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[公报基础表格.xls]GDP!$A$11:$A$12</c:f>
              <c:strCache>
                <c:ptCount val="2"/>
                <c:pt idx="0">
                  <c:v>2018年</c:v>
                </c:pt>
                <c:pt idx="1">
                  <c:v>2019年</c:v>
                </c:pt>
              </c:strCache>
            </c:strRef>
          </c:cat>
          <c:val>
            <c:numRef>
              <c:f>[公报基础表格.xls]GDP!$B$11:$B$12</c:f>
              <c:numCache>
                <c:formatCode>0.00_ </c:formatCode>
                <c:ptCount val="2"/>
                <c:pt idx="0">
                  <c:v>161.78</c:v>
                </c:pt>
                <c:pt idx="1" c:formatCode="General">
                  <c:v>186.75</c:v>
                </c:pt>
              </c:numCache>
            </c:numRef>
          </c:val>
        </c:ser>
        <c:dLbls>
          <c:showLegendKey val="0"/>
          <c:showVal val="0"/>
          <c:showCatName val="0"/>
          <c:showSerName val="0"/>
          <c:showPercent val="0"/>
          <c:showBubbleSize val="0"/>
        </c:dLbls>
        <c:gapWidth val="219"/>
        <c:overlap val="-27"/>
        <c:axId val="878610271"/>
        <c:axId val="824474617"/>
      </c:barChart>
      <c:lineChart>
        <c:grouping val="standard"/>
        <c:varyColors val="0"/>
        <c:ser>
          <c:idx val="1"/>
          <c:order val="1"/>
          <c:tx>
            <c:strRef>
              <c:f>[公报基础表格.xls]GDP!$C$10</c:f>
              <c:strCache>
                <c:ptCount val="1"/>
                <c:pt idx="0">
                  <c:v>同比增速（%）</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Lbl>
              <c:idx val="0"/>
              <c:layout>
                <c:manualLayout>
                  <c:x val="-0.0895833333333333"/>
                  <c:y val="-0.04225288600288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58333333333333"/>
                  <c:y val="-0.05722402597402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[公报基础表格.xls]GDP!$A$11:$A$12</c:f>
              <c:strCache>
                <c:ptCount val="2"/>
                <c:pt idx="0">
                  <c:v>2018年</c:v>
                </c:pt>
                <c:pt idx="1">
                  <c:v>2019年</c:v>
                </c:pt>
              </c:strCache>
            </c:strRef>
          </c:cat>
          <c:val>
            <c:numRef>
              <c:f>[公报基础表格.xls]GDP!$C$11:$C$12</c:f>
              <c:numCache>
                <c:formatCode>General</c:formatCode>
                <c:ptCount val="2"/>
                <c:pt idx="0">
                  <c:v>11.9</c:v>
                </c:pt>
                <c:pt idx="1">
                  <c:v>15.3</c:v>
                </c:pt>
              </c:numCache>
            </c:numRef>
          </c:val>
          <c:smooth val="0"/>
        </c:ser>
        <c:dLbls>
          <c:showLegendKey val="0"/>
          <c:showVal val="0"/>
          <c:showCatName val="0"/>
          <c:showSerName val="0"/>
          <c:showPercent val="0"/>
          <c:showBubbleSize val="0"/>
        </c:dLbls>
        <c:marker val="1"/>
        <c:smooth val="0"/>
        <c:axId val="512925439"/>
        <c:axId val="553925232"/>
      </c:lineChart>
      <c:catAx>
        <c:axId val="878610271"/>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4474617"/>
        <c:crosses val="autoZero"/>
        <c:auto val="1"/>
        <c:lblAlgn val="ctr"/>
        <c:lblOffset val="100"/>
        <c:noMultiLvlLbl val="0"/>
      </c:catAx>
      <c:valAx>
        <c:axId val="824474617"/>
        <c:scaling>
          <c:orientation val="minMax"/>
        </c:scaling>
        <c:delete val="0"/>
        <c:axPos val="l"/>
        <c:numFmt formatCode="0.00_ "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8610271"/>
        <c:crosses val="autoZero"/>
        <c:crossBetween val="between"/>
      </c:valAx>
      <c:catAx>
        <c:axId val="512925439"/>
        <c:scaling>
          <c:orientation val="minMax"/>
        </c:scaling>
        <c:delete val="1"/>
        <c:axPos val="t"/>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595959">
                    <a:alpha val="100000"/>
                  </a:srgbClr>
                </a:solidFill>
                <a:latin typeface="+mn-lt"/>
                <a:ea typeface="+mn-ea"/>
                <a:cs typeface="+mn-cs"/>
              </a:defRPr>
            </a:pPr>
          </a:p>
        </c:txPr>
        <c:crossAx val="553925232"/>
        <c:crosses val="max"/>
        <c:auto val="1"/>
        <c:lblAlgn val="ctr"/>
        <c:lblOffset val="100"/>
        <c:noMultiLvlLbl val="0"/>
      </c:catAx>
      <c:valAx>
        <c:axId val="553925232"/>
        <c:scaling>
          <c:orientation val="minMax"/>
        </c:scaling>
        <c:delete val="0"/>
        <c:axPos val="r"/>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2925439"/>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latin typeface="黑体" panose="02010609060101010101" charset="-122"/>
                <a:ea typeface="黑体" panose="02010609060101010101" charset="-122"/>
                <a:cs typeface="黑体" panose="02010609060101010101" charset="-122"/>
              </a:rPr>
              <a:t>2014</a:t>
            </a:r>
            <a:r>
              <a:rPr altLang="en-US">
                <a:latin typeface="黑体" panose="02010609060101010101" charset="-122"/>
                <a:ea typeface="黑体" panose="02010609060101010101" charset="-122"/>
                <a:cs typeface="黑体" panose="02010609060101010101" charset="-122"/>
              </a:rPr>
              <a:t>年末以来全县贫困人口及贫困发生率走势图</a:t>
            </a:r>
            <a:endParaRPr altLang="en-US">
              <a:latin typeface="黑体" panose="02010609060101010101" charset="-122"/>
              <a:ea typeface="黑体" panose="02010609060101010101" charset="-122"/>
              <a:cs typeface="黑体" panose="02010609060101010101" charset="-122"/>
            </a:endParaRPr>
          </a:p>
        </c:rich>
      </c:tx>
      <c:layout>
        <c:manualLayout>
          <c:xMode val="edge"/>
          <c:yMode val="edge"/>
          <c:x val="0.139615384615385"/>
          <c:y val="0.0308219178082192"/>
        </c:manualLayout>
      </c:layout>
      <c:overlay val="0"/>
      <c:spPr>
        <a:noFill/>
        <a:ln>
          <a:noFill/>
        </a:ln>
        <a:effectLst/>
      </c:spPr>
    </c:title>
    <c:autoTitleDeleted val="0"/>
    <c:plotArea>
      <c:layout/>
      <c:barChart>
        <c:barDir val="col"/>
        <c:grouping val="clustered"/>
        <c:varyColors val="0"/>
        <c:ser>
          <c:idx val="0"/>
          <c:order val="0"/>
          <c:tx>
            <c:strRef>
              <c:f>[公报基础表格.xls]扶贫!$A$3</c:f>
              <c:strCache>
                <c:ptCount val="1"/>
                <c:pt idx="0">
                  <c:v>贫困人口（万人）</c:v>
                </c:pt>
              </c:strCache>
            </c:strRef>
          </c:tx>
          <c:spPr>
            <a:gradFill>
              <a:gsLst>
                <a:gs pos="0">
                  <a:srgbClr val="FECF40"/>
                </a:gs>
                <a:gs pos="100000">
                  <a:srgbClr val="846C21"/>
                </a:gs>
              </a:gsLst>
              <a:lin ang="5400000" scaled="0"/>
            </a:gradFill>
            <a:ln>
              <a:noFill/>
            </a:ln>
            <a:effectLst/>
          </c:spPr>
          <c:invertIfNegative val="0"/>
          <c:dLbls>
            <c:dLbl>
              <c:idx val="2"/>
              <c:layout>
                <c:manualLayout>
                  <c:x val="-0.0104166666666667"/>
                  <c:y val="0.031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
                  <c:y val="0.05208333333333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41666666666667"/>
                  <c:y val="0.06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[公报基础表格.xls]扶贫!$B$2:$G$2</c:f>
              <c:strCache>
                <c:ptCount val="6"/>
                <c:pt idx="0">
                  <c:v>2014年末</c:v>
                </c:pt>
                <c:pt idx="1">
                  <c:v>2015年末</c:v>
                </c:pt>
                <c:pt idx="2">
                  <c:v>2016年末</c:v>
                </c:pt>
                <c:pt idx="3">
                  <c:v>2017年末</c:v>
                </c:pt>
                <c:pt idx="4">
                  <c:v>2018年末</c:v>
                </c:pt>
                <c:pt idx="5">
                  <c:v>2019年末</c:v>
                </c:pt>
              </c:strCache>
            </c:strRef>
          </c:cat>
          <c:val>
            <c:numRef>
              <c:f>[公报基础表格.xls]扶贫!$B$3:$G$3</c:f>
              <c:numCache>
                <c:formatCode>0.00_ </c:formatCode>
                <c:ptCount val="6"/>
                <c:pt idx="0">
                  <c:v>11.86</c:v>
                </c:pt>
                <c:pt idx="1">
                  <c:v>9.17</c:v>
                </c:pt>
                <c:pt idx="2">
                  <c:v>5.52</c:v>
                </c:pt>
                <c:pt idx="3">
                  <c:v>1.32</c:v>
                </c:pt>
                <c:pt idx="4">
                  <c:v>0.9</c:v>
                </c:pt>
                <c:pt idx="5">
                  <c:v>0</c:v>
                </c:pt>
              </c:numCache>
            </c:numRef>
          </c:val>
        </c:ser>
        <c:dLbls>
          <c:showLegendKey val="0"/>
          <c:showVal val="1"/>
          <c:showCatName val="0"/>
          <c:showSerName val="0"/>
          <c:showPercent val="0"/>
          <c:showBubbleSize val="0"/>
        </c:dLbls>
        <c:gapWidth val="219"/>
        <c:overlap val="-27"/>
        <c:axId val="835321336"/>
        <c:axId val="953308688"/>
      </c:barChart>
      <c:lineChart>
        <c:grouping val="standard"/>
        <c:varyColors val="0"/>
        <c:ser>
          <c:idx val="1"/>
          <c:order val="1"/>
          <c:tx>
            <c:strRef>
              <c:f>[公报基础表格.xls]扶贫!$A$4</c:f>
              <c:strCache>
                <c:ptCount val="1"/>
                <c:pt idx="0">
                  <c:v>贫困发生率（%）</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3"/>
              <c:layout>
                <c:manualLayout>
                  <c:x val="-0.0166666666666667"/>
                  <c:y val="-0.086805555555555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04166666666667"/>
                  <c:y val="-0.07291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[公报基础表格.xls]扶贫!$B$2:$G$2</c:f>
              <c:strCache>
                <c:ptCount val="6"/>
                <c:pt idx="0">
                  <c:v>2014年末</c:v>
                </c:pt>
                <c:pt idx="1">
                  <c:v>2015年末</c:v>
                </c:pt>
                <c:pt idx="2">
                  <c:v>2016年末</c:v>
                </c:pt>
                <c:pt idx="3">
                  <c:v>2017年末</c:v>
                </c:pt>
                <c:pt idx="4">
                  <c:v>2018年末</c:v>
                </c:pt>
                <c:pt idx="5">
                  <c:v>2019年末</c:v>
                </c:pt>
              </c:strCache>
            </c:strRef>
          </c:cat>
          <c:val>
            <c:numRef>
              <c:f>[公报基础表格.xls]扶贫!$B$4:$G$4</c:f>
              <c:numCache>
                <c:formatCode>0.00_ </c:formatCode>
                <c:ptCount val="6"/>
                <c:pt idx="0">
                  <c:v>17.6456322596675</c:v>
                </c:pt>
                <c:pt idx="1">
                  <c:v>13.6433767134192</c:v>
                </c:pt>
                <c:pt idx="2">
                  <c:v>8.21280692018252</c:v>
                </c:pt>
                <c:pt idx="3">
                  <c:v>1.96393208960887</c:v>
                </c:pt>
                <c:pt idx="4">
                  <c:v>1.3390446065515</c:v>
                </c:pt>
                <c:pt idx="5">
                  <c:v>0</c:v>
                </c:pt>
              </c:numCache>
            </c:numRef>
          </c:val>
          <c:smooth val="0"/>
        </c:ser>
        <c:dLbls>
          <c:showLegendKey val="0"/>
          <c:showVal val="1"/>
          <c:showCatName val="0"/>
          <c:showSerName val="0"/>
          <c:showPercent val="0"/>
          <c:showBubbleSize val="0"/>
        </c:dLbls>
        <c:marker val="1"/>
        <c:smooth val="0"/>
        <c:axId val="835321336"/>
        <c:axId val="953308688"/>
      </c:lineChart>
      <c:catAx>
        <c:axId val="8353213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3308688"/>
        <c:crosses val="autoZero"/>
        <c:auto val="1"/>
        <c:lblAlgn val="ctr"/>
        <c:lblOffset val="100"/>
        <c:noMultiLvlLbl val="0"/>
      </c:catAx>
      <c:valAx>
        <c:axId val="953308688"/>
        <c:scaling>
          <c:orientation val="minMax"/>
        </c:scaling>
        <c:delete val="0"/>
        <c:axPos val="l"/>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53213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50000"/>
                    <a:lumOff val="50000"/>
                  </a:schemeClr>
                </a:solidFill>
                <a:latin typeface="+mn-lt"/>
                <a:ea typeface="+mn-ea"/>
                <a:cs typeface="+mn-cs"/>
              </a:defRPr>
            </a:pPr>
            <a:r>
              <a:rPr lang="en-US" altLang="zh-CN" sz="1200" b="0" i="0" u="none" strike="noStrike" baseline="0">
                <a:solidFill>
                  <a:srgbClr val="808080"/>
                </a:solidFill>
                <a:latin typeface="黑体" panose="02010609060101010101" charset="-122"/>
                <a:ea typeface="黑体" panose="02010609060101010101" charset="-122"/>
                <a:cs typeface="黑体" panose="02010609060101010101" charset="-122"/>
              </a:rPr>
              <a:t>2015</a:t>
            </a:r>
            <a:r>
              <a:rPr altLang="en-US" sz="1200" b="0" i="0" u="none" strike="noStrike" baseline="0">
                <a:solidFill>
                  <a:srgbClr val="808080"/>
                </a:solidFill>
                <a:latin typeface="黑体" panose="02010609060101010101" charset="-122"/>
                <a:ea typeface="黑体" panose="02010609060101010101" charset="-122"/>
                <a:cs typeface="黑体" panose="02010609060101010101" charset="-122"/>
              </a:rPr>
              <a:t>年</a:t>
            </a:r>
            <a:r>
              <a:rPr lang="en-US" altLang="zh-CN" sz="1200" b="0" i="0" u="none" strike="noStrike" baseline="0">
                <a:solidFill>
                  <a:srgbClr val="808080"/>
                </a:solidFill>
                <a:latin typeface="黑体" panose="02010609060101010101" charset="-122"/>
                <a:ea typeface="黑体" panose="02010609060101010101" charset="-122"/>
                <a:cs typeface="黑体" panose="02010609060101010101" charset="-122"/>
              </a:rPr>
              <a:t>-2019</a:t>
            </a:r>
            <a:r>
              <a:rPr altLang="en-US" sz="1200" b="0" i="0" u="none" strike="noStrike" baseline="0">
                <a:solidFill>
                  <a:srgbClr val="808080"/>
                </a:solidFill>
                <a:latin typeface="黑体" panose="02010609060101010101" charset="-122"/>
                <a:ea typeface="黑体" panose="02010609060101010101" charset="-122"/>
                <a:cs typeface="黑体" panose="02010609060101010101" charset="-122"/>
              </a:rPr>
              <a:t>年规模工业增加值增长速度</a:t>
            </a:r>
            <a:endParaRPr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677554220015678"/>
          <c:y val="0.170231532524807"/>
          <c:w val="0.900888424353279"/>
          <c:h val="0.564366041896362"/>
        </c:manualLayout>
      </c:layout>
      <c:lineChart>
        <c:grouping val="standard"/>
        <c:varyColors val="0"/>
        <c:ser>
          <c:idx val="0"/>
          <c:order val="0"/>
          <c:tx>
            <c:strRef>
              <c:f>[公报基础表格.xls]规模工业!$E$26</c:f>
              <c:strCache>
                <c:ptCount val="1"/>
                <c:pt idx="0">
                  <c:v>比上年增长（%）</c:v>
                </c:pt>
              </c:strCache>
            </c:strRef>
          </c:tx>
          <c:spPr>
            <a:ln w="34925" cap="rnd" cmpd="sng" algn="ctr">
              <a:solidFill>
                <a:srgbClr val="FF0000"/>
              </a:solidFill>
              <a:prstDash val="solid"/>
              <a:round/>
            </a:ln>
            <a:effectLst/>
          </c:spPr>
          <c:marker>
            <c:symbol val="square"/>
            <c:size val="7"/>
            <c:spPr>
              <a:solidFill>
                <a:srgbClr val="D4CEC2"/>
              </a:solidFill>
              <a:ln w="9525" cap="flat" cmpd="sng" algn="ctr">
                <a:solidFill>
                  <a:schemeClr val="bg1"/>
                </a:solidFill>
                <a:prstDash val="solid"/>
                <a:round/>
              </a:ln>
              <a:effectLst/>
            </c:spPr>
          </c:marker>
          <c:dLbls>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50000"/>
                        <a:lumOff val="50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[公报基础表格.xls]规模工业!$D$27:$D$31</c:f>
              <c:strCache>
                <c:ptCount val="5"/>
                <c:pt idx="0">
                  <c:v>2015年</c:v>
                </c:pt>
                <c:pt idx="1">
                  <c:v>2016年</c:v>
                </c:pt>
                <c:pt idx="2">
                  <c:v>2017年</c:v>
                </c:pt>
                <c:pt idx="3">
                  <c:v>2018年</c:v>
                </c:pt>
                <c:pt idx="4">
                  <c:v>2019年</c:v>
                </c:pt>
              </c:strCache>
            </c:strRef>
          </c:cat>
          <c:val>
            <c:numRef>
              <c:f>[公报基础表格.xls]规模工业!$E$27:$E$31</c:f>
              <c:numCache>
                <c:formatCode>General</c:formatCode>
                <c:ptCount val="5"/>
                <c:pt idx="0">
                  <c:v>17</c:v>
                </c:pt>
                <c:pt idx="1">
                  <c:v>14.3</c:v>
                </c:pt>
                <c:pt idx="2">
                  <c:v>9.2</c:v>
                </c:pt>
                <c:pt idx="3">
                  <c:v>15.7</c:v>
                </c:pt>
                <c:pt idx="4">
                  <c:v>25</c:v>
                </c:pt>
              </c:numCache>
            </c:numRef>
          </c:val>
          <c:smooth val="0"/>
        </c:ser>
        <c:dLbls>
          <c:showLegendKey val="0"/>
          <c:showVal val="0"/>
          <c:showCatName val="0"/>
          <c:showSerName val="0"/>
          <c:showPercent val="0"/>
          <c:showBubbleSize val="0"/>
        </c:dLbls>
        <c:marker val="1"/>
        <c:smooth val="0"/>
        <c:axId val="914808619"/>
        <c:axId val="461541765"/>
      </c:lineChart>
      <c:catAx>
        <c:axId val="914808619"/>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crossAx val="461541765"/>
        <c:crosses val="autoZero"/>
        <c:auto val="1"/>
        <c:lblAlgn val="ctr"/>
        <c:lblOffset val="100"/>
        <c:noMultiLvlLbl val="0"/>
      </c:catAx>
      <c:valAx>
        <c:axId val="461541765"/>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crossAx val="914808619"/>
        <c:crosses val="autoZero"/>
        <c:crossBetween val="between"/>
      </c:valAx>
      <c:spPr>
        <a:noFill/>
        <a:ln>
          <a:noFill/>
        </a:ln>
        <a:effectLst/>
      </c:spPr>
    </c:plotArea>
    <c:legend>
      <c:legendPos val="b"/>
      <c:legendEntry>
        <c:idx val="0"/>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solidFill>
            <a:schemeClr val="tx1">
              <a:lumMod val="50000"/>
              <a:lumOff val="50000"/>
            </a:schemeClr>
          </a:solidFill>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lang="en-US" altLang="zh-CN" sz="1400" b="0" i="0" u="none" strike="noStrike" baseline="0">
                <a:solidFill>
                  <a:srgbClr val="333333"/>
                </a:solidFill>
                <a:latin typeface="黑体" panose="02010609060101010101" charset="-122"/>
                <a:ea typeface="黑体" panose="02010609060101010101" charset="-122"/>
                <a:cs typeface="黑体" panose="02010609060101010101" charset="-122"/>
                <a:sym typeface="黑体" panose="02010609060101010101" charset="-122"/>
              </a:rPr>
              <a:t>2019</a:t>
            </a:r>
            <a:r>
              <a:rPr altLang="en-US" sz="1400" b="0" i="0" u="none" strike="noStrike" baseline="0">
                <a:solidFill>
                  <a:srgbClr val="333333"/>
                </a:solidFill>
                <a:latin typeface="黑体" panose="02010609060101010101" charset="-122"/>
                <a:ea typeface="黑体" panose="02010609060101010101" charset="-122"/>
                <a:cs typeface="黑体" panose="02010609060101010101" charset="-122"/>
                <a:sym typeface="黑体" panose="02010609060101010101" charset="-122"/>
              </a:rPr>
              <a:t>年三次投资占固定资产投资比重（</a:t>
            </a:r>
            <a:r>
              <a:rPr lang="en-US" altLang="zh-CN" sz="1400" b="0" i="0" u="none" strike="noStrike" baseline="0">
                <a:solidFill>
                  <a:srgbClr val="333333"/>
                </a:solidFill>
                <a:latin typeface="黑体" panose="02010609060101010101" charset="-122"/>
                <a:ea typeface="黑体" panose="02010609060101010101" charset="-122"/>
                <a:cs typeface="黑体" panose="02010609060101010101" charset="-122"/>
                <a:sym typeface="黑体" panose="02010609060101010101" charset="-122"/>
              </a:rPr>
              <a:t>%</a:t>
            </a:r>
            <a:r>
              <a:rPr altLang="en-US" sz="1400" b="0" i="0" u="none" strike="noStrike" baseline="0">
                <a:solidFill>
                  <a:srgbClr val="333333"/>
                </a:solidFill>
                <a:latin typeface="黑体" panose="02010609060101010101" charset="-122"/>
                <a:ea typeface="黑体" panose="02010609060101010101" charset="-122"/>
                <a:cs typeface="黑体" panose="02010609060101010101" charset="-122"/>
                <a:sym typeface="黑体" panose="02010609060101010101" charset="-122"/>
              </a:rPr>
              <a:t>）</a:t>
            </a:r>
            <a:endParaRPr altLang="en-US" sz="1200" b="0" i="0" u="none" strike="noStrike" baseline="0">
              <a:solidFill>
                <a:srgbClr val="000000"/>
              </a:solidFill>
              <a:latin typeface="黑体" panose="02010609060101010101" charset="-122"/>
              <a:ea typeface="黑体" panose="02010609060101010101" charset="-122"/>
              <a:cs typeface="黑体" panose="02010609060101010101" charset="-122"/>
              <a:sym typeface="黑体" panose="02010609060101010101" charset="-122"/>
            </a:endParaRPr>
          </a:p>
        </c:rich>
      </c:tx>
      <c:layout>
        <c:manualLayout>
          <c:xMode val="edge"/>
          <c:yMode val="edge"/>
          <c:x val="0.16985173342079"/>
          <c:y val="0.0451388888888889"/>
        </c:manualLayout>
      </c:layout>
      <c:overlay val="0"/>
      <c:spPr>
        <a:noFill/>
        <a:ln>
          <a:noFill/>
        </a:ln>
        <a:effectLst/>
      </c:spPr>
    </c:title>
    <c:autoTitleDeleted val="0"/>
    <c:plotArea>
      <c:layout>
        <c:manualLayout>
          <c:layoutTarget val="inner"/>
          <c:xMode val="edge"/>
          <c:yMode val="edge"/>
          <c:x val="0.106950614058009"/>
          <c:y val="0.234216335540839"/>
          <c:w val="0.848497517637836"/>
          <c:h val="0.666092715231788"/>
        </c:manualLayout>
      </c:layout>
      <c:pieChart>
        <c:varyColors val="1"/>
        <c:ser>
          <c:idx val="0"/>
          <c:order val="0"/>
          <c:tx>
            <c:strRef>
              <c:f>[公报基础表格.xls]投资!$Q$13</c:f>
              <c:strCache>
                <c:ptCount val="1"/>
                <c:pt idx="0">
                  <c:v>占比（%）</c:v>
                </c:pt>
              </c:strCache>
            </c:strRef>
          </c:tx>
          <c:spPr>
            <a:solidFill>
              <a:schemeClr val="bg1"/>
            </a:solidFill>
            <a:ln w="6350">
              <a:solidFill>
                <a:schemeClr val="bg1"/>
              </a:solidFill>
            </a:ln>
            <a:effectLst/>
          </c:spPr>
          <c:explosion val="0"/>
          <c:dPt>
            <c:idx val="0"/>
            <c:bubble3D val="0"/>
            <c:explosion val="0"/>
            <c:spPr>
              <a:solidFill>
                <a:srgbClr val="286676"/>
              </a:solidFill>
              <a:ln w="6350">
                <a:solidFill>
                  <a:schemeClr val="bg1"/>
                </a:solidFill>
              </a:ln>
              <a:effectLst/>
            </c:spPr>
          </c:dPt>
          <c:dPt>
            <c:idx val="1"/>
            <c:bubble3D val="0"/>
            <c:explosion val="0"/>
            <c:spPr>
              <a:solidFill>
                <a:srgbClr val="FBB611"/>
              </a:solidFill>
              <a:ln w="6350">
                <a:solidFill>
                  <a:schemeClr val="bg1"/>
                </a:solidFill>
              </a:ln>
              <a:effectLst/>
            </c:spPr>
          </c:dPt>
          <c:dPt>
            <c:idx val="2"/>
            <c:bubble3D val="0"/>
            <c:explosion val="0"/>
            <c:spPr>
              <a:solidFill>
                <a:srgbClr val="C5C5C4"/>
              </a:solidFill>
              <a:ln w="6350">
                <a:solidFill>
                  <a:schemeClr val="bg1"/>
                </a:solidFill>
              </a:ln>
              <a:effectLst/>
            </c:spPr>
          </c:dPt>
          <c:dLbls>
            <c:dLbl>
              <c:idx val="0"/>
              <c:layout>
                <c:manualLayout>
                  <c:x val="0.0466643510087997"/>
                  <c:y val="0.0250109086648767"/>
                </c:manualLayout>
              </c:layout>
              <c:tx>
                <c:rich>
                  <a:bodyPr rot="0" spcFirstLastPara="0" vertOverflow="ellipsis" vert="horz" wrap="square" lIns="38100" tIns="19050" rIns="38100" bIns="19050" anchor="ctr" anchorCtr="1"/>
                  <a:lstStyle/>
                  <a:p>
                    <a:pPr defTabSz="914400">
                      <a:defRPr lang="zh-CN" sz="1200" b="1" i="0" u="none" strike="noStrike" kern="1200" baseline="0">
                        <a:solidFill>
                          <a:schemeClr val="tx1">
                            <a:lumMod val="75000"/>
                            <a:lumOff val="25000"/>
                          </a:schemeClr>
                        </a:solidFill>
                        <a:latin typeface="+mn-lt"/>
                        <a:ea typeface="+mn-ea"/>
                        <a:cs typeface="+mn-cs"/>
                      </a:defRPr>
                    </a:pPr>
                    <a:r>
                      <a:t>1.6</a:t>
                    </a:r>
                    <a:r>
                      <a:rPr lang="en-US" altLang="zh-CN"/>
                      <a:t>1</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74240094274655"/>
                  <c:y val="0.069191140436999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1969747038106"/>
                  <c:y val="-0.15724817150543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[公报基础表格.xls]投资!$P$14:$P$16</c:f>
              <c:strCache>
                <c:ptCount val="3"/>
                <c:pt idx="0">
                  <c:v>第一产业</c:v>
                </c:pt>
                <c:pt idx="1">
                  <c:v>第二产业</c:v>
                </c:pt>
                <c:pt idx="2">
                  <c:v>第三产业</c:v>
                </c:pt>
              </c:strCache>
            </c:strRef>
          </c:cat>
          <c:val>
            <c:numRef>
              <c:f>[公报基础表格.xls]投资!$Q$14:$Q$16</c:f>
              <c:numCache>
                <c:formatCode>0.00_ </c:formatCode>
                <c:ptCount val="3"/>
                <c:pt idx="0">
                  <c:v>1.62</c:v>
                </c:pt>
                <c:pt idx="1">
                  <c:v>23.55</c:v>
                </c:pt>
                <c:pt idx="2">
                  <c:v>74.83</c:v>
                </c:pt>
              </c:numCache>
            </c:numRef>
          </c:val>
        </c:ser>
        <c:dLbls>
          <c:showLegendKey val="0"/>
          <c:showVal val="0"/>
          <c:showCatName val="0"/>
          <c:showSerName val="0"/>
          <c:showPercent val="0"/>
          <c:showBubbleSize val="0"/>
          <c:showLeaderLines val="1"/>
        </c:dLbls>
        <c:firstSliceAng val="0"/>
      </c:pieChart>
      <c:spPr>
        <a:noFill/>
        <a:ln w="6350">
          <a:noFill/>
          <a:prstDash val="dash"/>
        </a:ln>
        <a:effectLst/>
      </c:spPr>
    </c:plotArea>
    <c:legend>
      <c:legendPos val="l"/>
      <c:legendEntry>
        <c:idx val="0"/>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1"/>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2"/>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manualLayout>
          <c:xMode val="edge"/>
          <c:yMode val="edge"/>
          <c:x val="0.0663716814159292"/>
          <c:y val="0.195891891891892"/>
          <c:w val="0.14075"/>
          <c:h val="0.21475"/>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50000"/>
                    <a:lumOff val="50000"/>
                  </a:schemeClr>
                </a:solidFill>
                <a:latin typeface="+mn-lt"/>
                <a:ea typeface="+mn-ea"/>
                <a:cs typeface="+mn-cs"/>
              </a:defRPr>
            </a:pPr>
            <a:r>
              <a:rPr lang="en-US" altLang="zh-CN" sz="1400" b="0" i="0" u="none" strike="noStrike" baseline="0">
                <a:solidFill>
                  <a:srgbClr val="808080"/>
                </a:solidFill>
                <a:latin typeface="黑体" panose="02010609060101010101" charset="-122"/>
                <a:ea typeface="黑体" panose="02010609060101010101" charset="-122"/>
                <a:cs typeface="黑体" panose="02010609060101010101" charset="-122"/>
              </a:rPr>
              <a:t>2015</a:t>
            </a:r>
            <a:r>
              <a:rPr altLang="en-US" sz="1400" b="0" i="0" u="none" strike="noStrike" baseline="0">
                <a:solidFill>
                  <a:srgbClr val="808080"/>
                </a:solidFill>
                <a:latin typeface="黑体" panose="02010609060101010101" charset="-122"/>
                <a:ea typeface="黑体" panose="02010609060101010101" charset="-122"/>
                <a:cs typeface="黑体" panose="02010609060101010101" charset="-122"/>
              </a:rPr>
              <a:t>年</a:t>
            </a:r>
            <a:r>
              <a:rPr lang="en-US" altLang="zh-CN" sz="1400" b="0" i="0" u="none" strike="noStrike" baseline="0">
                <a:solidFill>
                  <a:srgbClr val="808080"/>
                </a:solidFill>
                <a:latin typeface="黑体" panose="02010609060101010101" charset="-122"/>
                <a:ea typeface="黑体" panose="02010609060101010101" charset="-122"/>
                <a:cs typeface="黑体" panose="02010609060101010101" charset="-122"/>
              </a:rPr>
              <a:t>-2019</a:t>
            </a:r>
            <a:r>
              <a:rPr altLang="en-US" sz="1400" b="0" i="0" u="none" strike="noStrike" baseline="0">
                <a:solidFill>
                  <a:srgbClr val="808080"/>
                </a:solidFill>
                <a:latin typeface="黑体" panose="02010609060101010101" charset="-122"/>
                <a:ea typeface="黑体" panose="02010609060101010101" charset="-122"/>
                <a:cs typeface="黑体" panose="02010609060101010101" charset="-122"/>
              </a:rPr>
              <a:t>年</a:t>
            </a:r>
            <a:r>
              <a:rPr lang="en-US" altLang="zh-CN" sz="1400" b="0" i="0" u="none" strike="noStrike" baseline="0">
                <a:solidFill>
                  <a:srgbClr val="808080"/>
                </a:solidFill>
                <a:latin typeface="黑体" panose="02010609060101010101" charset="-122"/>
                <a:ea typeface="黑体" panose="02010609060101010101" charset="-122"/>
                <a:cs typeface="黑体" panose="02010609060101010101" charset="-122"/>
              </a:rPr>
              <a:t>500</a:t>
            </a:r>
            <a:r>
              <a:rPr altLang="en-US" sz="1400" b="0" i="0" u="none" strike="noStrike" baseline="0">
                <a:solidFill>
                  <a:srgbClr val="808080"/>
                </a:solidFill>
                <a:latin typeface="黑体" panose="02010609060101010101" charset="-122"/>
                <a:ea typeface="黑体" panose="02010609060101010101" charset="-122"/>
                <a:cs typeface="黑体" panose="02010609060101010101" charset="-122"/>
              </a:rPr>
              <a:t>万元以上固定资产投资增长增速</a:t>
            </a:r>
            <a:endParaRPr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677554220015678"/>
          <c:y val="0.170231532524807"/>
          <c:w val="0.900888424353279"/>
          <c:h val="0.564366041896362"/>
        </c:manualLayout>
      </c:layout>
      <c:lineChart>
        <c:grouping val="standard"/>
        <c:varyColors val="0"/>
        <c:ser>
          <c:idx val="0"/>
          <c:order val="0"/>
          <c:tx>
            <c:strRef>
              <c:f>[公报基础表格.xls]投资!$E$39</c:f>
              <c:strCache>
                <c:ptCount val="1"/>
                <c:pt idx="0">
                  <c:v>比上年增长（%）</c:v>
                </c:pt>
              </c:strCache>
            </c:strRef>
          </c:tx>
          <c:spPr>
            <a:ln w="34925" cap="rnd" cmpd="sng" algn="ctr">
              <a:solidFill>
                <a:srgbClr val="FF0000"/>
              </a:solidFill>
              <a:prstDash val="solid"/>
              <a:round/>
            </a:ln>
            <a:effectLst/>
          </c:spPr>
          <c:marker>
            <c:symbol val="square"/>
            <c:size val="7"/>
            <c:spPr>
              <a:solidFill>
                <a:srgbClr val="D4CEC2"/>
              </a:solidFill>
              <a:ln w="9525" cap="flat" cmpd="sng" algn="ctr">
                <a:solidFill>
                  <a:schemeClr val="bg1"/>
                </a:solidFill>
                <a:prstDash val="solid"/>
                <a:round/>
              </a:ln>
              <a:effectLst/>
            </c:spPr>
          </c:marker>
          <c:dLbls>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50000"/>
                        <a:lumOff val="50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[公报基础表格.xls]投资!$D$41:$D$45</c:f>
              <c:strCache>
                <c:ptCount val="5"/>
                <c:pt idx="0">
                  <c:v>2015年</c:v>
                </c:pt>
                <c:pt idx="1">
                  <c:v>2016年</c:v>
                </c:pt>
                <c:pt idx="2">
                  <c:v>2017年</c:v>
                </c:pt>
                <c:pt idx="3">
                  <c:v>2018年</c:v>
                </c:pt>
                <c:pt idx="4">
                  <c:v>2019年</c:v>
                </c:pt>
              </c:strCache>
            </c:strRef>
          </c:cat>
          <c:val>
            <c:numRef>
              <c:f>[公报基础表格.xls]投资!$E$41:$E$45</c:f>
              <c:numCache>
                <c:formatCode>General</c:formatCode>
                <c:ptCount val="5"/>
                <c:pt idx="0">
                  <c:v>24.4</c:v>
                </c:pt>
                <c:pt idx="1">
                  <c:v>21.9</c:v>
                </c:pt>
                <c:pt idx="2">
                  <c:v>24.5</c:v>
                </c:pt>
                <c:pt idx="3">
                  <c:v>17.2</c:v>
                </c:pt>
                <c:pt idx="4">
                  <c:v>9.3</c:v>
                </c:pt>
              </c:numCache>
            </c:numRef>
          </c:val>
          <c:smooth val="0"/>
        </c:ser>
        <c:dLbls>
          <c:showLegendKey val="0"/>
          <c:showVal val="0"/>
          <c:showCatName val="0"/>
          <c:showSerName val="0"/>
          <c:showPercent val="0"/>
          <c:showBubbleSize val="0"/>
        </c:dLbls>
        <c:marker val="1"/>
        <c:smooth val="0"/>
        <c:axId val="820387545"/>
        <c:axId val="853275991"/>
      </c:lineChart>
      <c:catAx>
        <c:axId val="820387545"/>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crossAx val="853275991"/>
        <c:crosses val="autoZero"/>
        <c:auto val="1"/>
        <c:lblAlgn val="ctr"/>
        <c:lblOffset val="100"/>
        <c:noMultiLvlLbl val="0"/>
      </c:catAx>
      <c:valAx>
        <c:axId val="853275991"/>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crossAx val="820387545"/>
        <c:crosses val="autoZero"/>
        <c:crossBetween val="between"/>
      </c:valAx>
      <c:spPr>
        <a:noFill/>
        <a:ln>
          <a:noFill/>
        </a:ln>
        <a:effectLst/>
      </c:spPr>
    </c:plotArea>
    <c:legend>
      <c:legendPos val="b"/>
      <c:legendEntry>
        <c:idx val="0"/>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solidFill>
            <a:schemeClr val="tx1">
              <a:lumMod val="50000"/>
              <a:lumOff val="50000"/>
            </a:schemeClr>
          </a:solidFill>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50000"/>
                    <a:lumOff val="50000"/>
                  </a:schemeClr>
                </a:solidFill>
                <a:latin typeface="+mn-lt"/>
                <a:ea typeface="+mn-ea"/>
                <a:cs typeface="+mn-cs"/>
              </a:defRPr>
            </a:pPr>
            <a:r>
              <a:rPr lang="en-US" altLang="zh-CN" sz="1400" b="0" i="0" u="none" strike="noStrike" baseline="0">
                <a:solidFill>
                  <a:srgbClr val="808080"/>
                </a:solidFill>
                <a:latin typeface="黑体" panose="02010609060101010101" charset="-122"/>
                <a:ea typeface="黑体" panose="02010609060101010101" charset="-122"/>
                <a:cs typeface="黑体" panose="02010609060101010101" charset="-122"/>
              </a:rPr>
              <a:t>2015</a:t>
            </a:r>
            <a:r>
              <a:rPr altLang="en-US" sz="1400" b="0" i="0" u="none" strike="noStrike" baseline="0">
                <a:solidFill>
                  <a:srgbClr val="808080"/>
                </a:solidFill>
                <a:latin typeface="黑体" panose="02010609060101010101" charset="-122"/>
                <a:ea typeface="黑体" panose="02010609060101010101" charset="-122"/>
                <a:cs typeface="黑体" panose="02010609060101010101" charset="-122"/>
              </a:rPr>
              <a:t>年</a:t>
            </a:r>
            <a:r>
              <a:rPr lang="en-US" altLang="zh-CN" sz="1400" b="0" i="0" u="none" strike="noStrike" baseline="0">
                <a:solidFill>
                  <a:srgbClr val="808080"/>
                </a:solidFill>
                <a:latin typeface="黑体" panose="02010609060101010101" charset="-122"/>
                <a:ea typeface="黑体" panose="02010609060101010101" charset="-122"/>
                <a:cs typeface="黑体" panose="02010609060101010101" charset="-122"/>
              </a:rPr>
              <a:t>-2019</a:t>
            </a:r>
            <a:r>
              <a:rPr altLang="en-US" sz="1400" b="0" i="0" u="none" strike="noStrike" baseline="0">
                <a:solidFill>
                  <a:srgbClr val="808080"/>
                </a:solidFill>
                <a:latin typeface="黑体" panose="02010609060101010101" charset="-122"/>
                <a:ea typeface="黑体" panose="02010609060101010101" charset="-122"/>
                <a:cs typeface="黑体" panose="02010609060101010101" charset="-122"/>
              </a:rPr>
              <a:t>年社会消费品零售总额增长速度</a:t>
            </a:r>
            <a:endParaRPr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677554220015678"/>
          <c:y val="0.170231532524807"/>
          <c:w val="0.900888424353279"/>
          <c:h val="0.564366041896362"/>
        </c:manualLayout>
      </c:layout>
      <c:lineChart>
        <c:grouping val="standard"/>
        <c:varyColors val="0"/>
        <c:ser>
          <c:idx val="0"/>
          <c:order val="0"/>
          <c:tx>
            <c:strRef>
              <c:f>[公报基础表格.xls]社零!$E$23</c:f>
              <c:strCache>
                <c:ptCount val="1"/>
                <c:pt idx="0">
                  <c:v>比上年增长（%）</c:v>
                </c:pt>
              </c:strCache>
            </c:strRef>
          </c:tx>
          <c:spPr>
            <a:ln w="34925" cap="rnd" cmpd="sng" algn="ctr">
              <a:solidFill>
                <a:srgbClr val="FF0000"/>
              </a:solidFill>
              <a:prstDash val="solid"/>
              <a:round/>
            </a:ln>
            <a:effectLst/>
          </c:spPr>
          <c:marker>
            <c:symbol val="square"/>
            <c:size val="7"/>
            <c:spPr>
              <a:solidFill>
                <a:srgbClr val="D4CEC2"/>
              </a:solidFill>
              <a:ln w="9525" cap="flat" cmpd="sng" algn="ctr">
                <a:solidFill>
                  <a:schemeClr val="bg1"/>
                </a:solidFill>
                <a:prstDash val="solid"/>
                <a:round/>
              </a:ln>
              <a:effectLst/>
            </c:spPr>
          </c:marker>
          <c:dLbls>
            <c:dLbl>
              <c:idx val="3"/>
              <c:layout>
                <c:manualLayout>
                  <c:x val="-0.00208333333333333"/>
                  <c:y val="0.017361111111111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50000"/>
                          <a:lumOff val="50000"/>
                        </a:schemeClr>
                      </a:solidFill>
                      <a:latin typeface="+mn-lt"/>
                      <a:ea typeface="+mn-ea"/>
                      <a:cs typeface="+mn-cs"/>
                    </a:defRPr>
                  </a:pPr>
                </a:p>
              </c:txPr>
              <c:dLblPos val="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50000"/>
                        <a:lumOff val="50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[公报基础表格.xls]社零!$D$25:$D$29</c:f>
              <c:strCache>
                <c:ptCount val="5"/>
                <c:pt idx="0">
                  <c:v>2015年</c:v>
                </c:pt>
                <c:pt idx="1">
                  <c:v>2016年</c:v>
                </c:pt>
                <c:pt idx="2">
                  <c:v>2017年</c:v>
                </c:pt>
                <c:pt idx="3">
                  <c:v>2018年</c:v>
                </c:pt>
                <c:pt idx="4">
                  <c:v>2019年</c:v>
                </c:pt>
              </c:strCache>
            </c:strRef>
          </c:cat>
          <c:val>
            <c:numRef>
              <c:f>[公报基础表格.xls]社零!$E$25:$E$29</c:f>
              <c:numCache>
                <c:formatCode>General</c:formatCode>
                <c:ptCount val="5"/>
                <c:pt idx="0">
                  <c:v>12.1</c:v>
                </c:pt>
                <c:pt idx="1">
                  <c:v>13.4</c:v>
                </c:pt>
                <c:pt idx="2">
                  <c:v>17</c:v>
                </c:pt>
                <c:pt idx="3">
                  <c:v>9.7</c:v>
                </c:pt>
                <c:pt idx="4">
                  <c:v>4.1</c:v>
                </c:pt>
              </c:numCache>
            </c:numRef>
          </c:val>
          <c:smooth val="0"/>
        </c:ser>
        <c:dLbls>
          <c:showLegendKey val="0"/>
          <c:showVal val="0"/>
          <c:showCatName val="0"/>
          <c:showSerName val="0"/>
          <c:showPercent val="0"/>
          <c:showBubbleSize val="0"/>
        </c:dLbls>
        <c:marker val="1"/>
        <c:smooth val="0"/>
        <c:axId val="646564935"/>
        <c:axId val="772578190"/>
      </c:lineChart>
      <c:catAx>
        <c:axId val="646564935"/>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crossAx val="772578190"/>
        <c:crosses val="autoZero"/>
        <c:auto val="1"/>
        <c:lblAlgn val="ctr"/>
        <c:lblOffset val="100"/>
        <c:noMultiLvlLbl val="0"/>
      </c:catAx>
      <c:valAx>
        <c:axId val="772578190"/>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crossAx val="646564935"/>
        <c:crosses val="autoZero"/>
        <c:crossBetween val="between"/>
      </c:valAx>
      <c:spPr>
        <a:noFill/>
        <a:ln>
          <a:noFill/>
        </a:ln>
        <a:effectLst/>
      </c:spPr>
    </c:plotArea>
    <c:legend>
      <c:legendPos val="b"/>
      <c:legendEntry>
        <c:idx val="0"/>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solidFill>
            <a:schemeClr val="tx1">
              <a:lumMod val="50000"/>
              <a:lumOff val="50000"/>
            </a:schemeClr>
          </a:solidFill>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baseline="0">
                <a:solidFill>
                  <a:srgbClr val="333333"/>
                </a:solidFill>
                <a:latin typeface="黑体" panose="02010609060101010101" charset="-122"/>
                <a:ea typeface="黑体" panose="02010609060101010101" charset="-122"/>
                <a:cs typeface="黑体" panose="02010609060101010101" charset="-122"/>
              </a:rPr>
              <a:t>2015</a:t>
            </a:r>
            <a:r>
              <a:rPr altLang="en-US" sz="1400" b="0" i="0" u="none" strike="noStrike" baseline="0">
                <a:solidFill>
                  <a:srgbClr val="333333"/>
                </a:solidFill>
                <a:latin typeface="黑体" panose="02010609060101010101" charset="-122"/>
                <a:ea typeface="黑体" panose="02010609060101010101" charset="-122"/>
                <a:cs typeface="黑体" panose="02010609060101010101" charset="-122"/>
              </a:rPr>
              <a:t>年</a:t>
            </a:r>
            <a:r>
              <a:rPr lang="en-US" altLang="zh-CN" sz="1400" b="0" i="0" u="none" strike="noStrike" baseline="0">
                <a:solidFill>
                  <a:srgbClr val="333333"/>
                </a:solidFill>
                <a:latin typeface="黑体" panose="02010609060101010101" charset="-122"/>
                <a:ea typeface="黑体" panose="02010609060101010101" charset="-122"/>
                <a:cs typeface="黑体" panose="02010609060101010101" charset="-122"/>
              </a:rPr>
              <a:t>-2018</a:t>
            </a:r>
            <a:r>
              <a:rPr altLang="en-US" sz="1400" b="0" i="0" u="none" strike="noStrike" baseline="0">
                <a:solidFill>
                  <a:srgbClr val="333333"/>
                </a:solidFill>
                <a:latin typeface="黑体" panose="02010609060101010101" charset="-122"/>
                <a:ea typeface="黑体" panose="02010609060101010101" charset="-122"/>
                <a:cs typeface="黑体" panose="02010609060101010101" charset="-122"/>
              </a:rPr>
              <a:t>年一般公共预算收入及增长速度</a:t>
            </a:r>
            <a:endParaRPr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[公报基础表格.xls]财政!$B$24</c:f>
              <c:strCache>
                <c:ptCount val="1"/>
                <c:pt idx="0">
                  <c:v>一般公共预算收入（亿元）</c:v>
                </c:pt>
              </c:strCache>
            </c:strRef>
          </c:tx>
          <c:spPr>
            <a:gradFill>
              <a:gsLst>
                <a:gs pos="0">
                  <a:srgbClr val="FECF40"/>
                </a:gs>
                <a:gs pos="100000">
                  <a:srgbClr val="846C21"/>
                </a:gs>
              </a:gsLst>
              <a:lin ang="5400000" scaled="0"/>
            </a:gradFill>
            <a:ln>
              <a:noFill/>
            </a:ln>
            <a:effectLst>
              <a:glow>
                <a:schemeClr val="accent6">
                  <a:lumMod val="60000"/>
                  <a:lumOff val="40000"/>
                </a:schemeClr>
              </a:glow>
              <a:outerShdw blurRad="50800" dist="38100" dir="2700000" algn="tl" rotWithShape="0">
                <a:schemeClr val="accent6">
                  <a:lumMod val="40000"/>
                  <a:lumOff val="60000"/>
                  <a:alpha val="40000"/>
                </a:schemeClr>
              </a:outerShdw>
            </a:effectLst>
          </c:spPr>
          <c:invertIfNegative val="0"/>
          <c:dLbls>
            <c:dLbl>
              <c:idx val="2"/>
              <c:layout>
                <c:manualLayout>
                  <c:x val="0"/>
                  <c:y val="0.035203003989673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60466179159049"/>
                  <c:y val="0.079620720227385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95414381474711"/>
                  <c:y val="0.1350801194294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[公报基础表格.xls]财政!$A$26:$A$30</c:f>
              <c:strCache>
                <c:ptCount val="5"/>
                <c:pt idx="0">
                  <c:v>2015年</c:v>
                </c:pt>
                <c:pt idx="1">
                  <c:v>2016年</c:v>
                </c:pt>
                <c:pt idx="2">
                  <c:v>2017年</c:v>
                </c:pt>
                <c:pt idx="3">
                  <c:v>2018年</c:v>
                </c:pt>
                <c:pt idx="4">
                  <c:v>2019年</c:v>
                </c:pt>
              </c:strCache>
            </c:strRef>
          </c:cat>
          <c:val>
            <c:numRef>
              <c:f>[公报基础表格.xls]财政!$B$26:$B$30</c:f>
              <c:numCache>
                <c:formatCode>0.00_ </c:formatCode>
                <c:ptCount val="5"/>
                <c:pt idx="0">
                  <c:v>7.6</c:v>
                </c:pt>
                <c:pt idx="1">
                  <c:v>7.45</c:v>
                </c:pt>
                <c:pt idx="2">
                  <c:v>8.55</c:v>
                </c:pt>
                <c:pt idx="3">
                  <c:v>10.41</c:v>
                </c:pt>
                <c:pt idx="4" c:formatCode="General">
                  <c:v>12.56</c:v>
                </c:pt>
              </c:numCache>
            </c:numRef>
          </c:val>
        </c:ser>
        <c:dLbls>
          <c:showLegendKey val="0"/>
          <c:showVal val="0"/>
          <c:showCatName val="0"/>
          <c:showSerName val="0"/>
          <c:showPercent val="0"/>
          <c:showBubbleSize val="0"/>
        </c:dLbls>
        <c:gapWidth val="219"/>
        <c:overlap val="-27"/>
        <c:axId val="609165974"/>
        <c:axId val="39258496"/>
      </c:barChart>
      <c:lineChart>
        <c:grouping val="standard"/>
        <c:varyColors val="0"/>
        <c:ser>
          <c:idx val="1"/>
          <c:order val="1"/>
          <c:tx>
            <c:strRef>
              <c:f>[公报基础表格.xls]财政!$C$24</c:f>
              <c:strCache>
                <c:ptCount val="1"/>
                <c:pt idx="0">
                  <c:v>比上年增长（%）</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Lbl>
              <c:idx val="0"/>
              <c:layout>
                <c:manualLayout>
                  <c:x val="0.00731261425959781"/>
                  <c:y val="0.0035203003989673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85009140767824"/>
                  <c:y val="-0.035203003989673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81657525898846"/>
                  <c:y val="-0.027922012308013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875"/>
                  <c:y val="-0.041666666666666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[公报基础表格.xls]财政!$A$26:$A$30</c:f>
              <c:strCache>
                <c:ptCount val="5"/>
                <c:pt idx="0">
                  <c:v>2015年</c:v>
                </c:pt>
                <c:pt idx="1">
                  <c:v>2016年</c:v>
                </c:pt>
                <c:pt idx="2">
                  <c:v>2017年</c:v>
                </c:pt>
                <c:pt idx="3">
                  <c:v>2018年</c:v>
                </c:pt>
                <c:pt idx="4">
                  <c:v>2019年</c:v>
                </c:pt>
              </c:strCache>
            </c:strRef>
          </c:cat>
          <c:val>
            <c:numRef>
              <c:f>[公报基础表格.xls]财政!$C$26:$C$30</c:f>
              <c:numCache>
                <c:formatCode>0.00_ </c:formatCode>
                <c:ptCount val="5"/>
                <c:pt idx="0">
                  <c:v>-2.5</c:v>
                </c:pt>
                <c:pt idx="1">
                  <c:v>3.7</c:v>
                </c:pt>
                <c:pt idx="2">
                  <c:v>20.72</c:v>
                </c:pt>
                <c:pt idx="3">
                  <c:v>21.73</c:v>
                </c:pt>
                <c:pt idx="4" c:formatCode="General">
                  <c:v>20.69</c:v>
                </c:pt>
              </c:numCache>
            </c:numRef>
          </c:val>
          <c:smooth val="0"/>
        </c:ser>
        <c:dLbls>
          <c:showLegendKey val="0"/>
          <c:showVal val="0"/>
          <c:showCatName val="0"/>
          <c:showSerName val="0"/>
          <c:showPercent val="0"/>
          <c:showBubbleSize val="0"/>
        </c:dLbls>
        <c:marker val="1"/>
        <c:smooth val="0"/>
        <c:axId val="979013914"/>
        <c:axId val="280358777"/>
      </c:lineChart>
      <c:catAx>
        <c:axId val="60916597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258496"/>
        <c:crosses val="autoZero"/>
        <c:auto val="1"/>
        <c:lblAlgn val="ctr"/>
        <c:lblOffset val="100"/>
        <c:noMultiLvlLbl val="0"/>
      </c:catAx>
      <c:valAx>
        <c:axId val="39258496"/>
        <c:scaling>
          <c:orientation val="minMax"/>
        </c:scaling>
        <c:delete val="0"/>
        <c:axPos val="l"/>
        <c:numFmt formatCode="0.00_ "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9165974"/>
        <c:crosses val="autoZero"/>
        <c:crossBetween val="between"/>
      </c:valAx>
      <c:catAx>
        <c:axId val="979013914"/>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595959">
                    <a:alpha val="100000"/>
                  </a:srgbClr>
                </a:solidFill>
                <a:latin typeface="+mn-lt"/>
                <a:ea typeface="+mn-ea"/>
                <a:cs typeface="+mn-cs"/>
              </a:defRPr>
            </a:pPr>
          </a:p>
        </c:txPr>
        <c:crossAx val="280358777"/>
        <c:crosses val="autoZero"/>
        <c:auto val="1"/>
        <c:lblAlgn val="ctr"/>
        <c:lblOffset val="100"/>
        <c:noMultiLvlLbl val="0"/>
      </c:catAx>
      <c:valAx>
        <c:axId val="280358777"/>
        <c:scaling>
          <c:orientation val="minMax"/>
        </c:scaling>
        <c:delete val="0"/>
        <c:axPos val="r"/>
        <c:numFmt formatCode="0.00_ "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9013914"/>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baseline="0">
                <a:solidFill>
                  <a:srgbClr val="333333"/>
                </a:solidFill>
                <a:latin typeface="黑体" panose="02010609060101010101" charset="-122"/>
                <a:ea typeface="黑体" panose="02010609060101010101" charset="-122"/>
                <a:cs typeface="黑体" panose="02010609060101010101" charset="-122"/>
              </a:rPr>
              <a:t>2015</a:t>
            </a:r>
            <a:r>
              <a:rPr altLang="en-US" sz="1400" b="0" i="0" u="none" strike="noStrike" baseline="0">
                <a:solidFill>
                  <a:srgbClr val="333333"/>
                </a:solidFill>
                <a:latin typeface="黑体" panose="02010609060101010101" charset="-122"/>
                <a:ea typeface="黑体" panose="02010609060101010101" charset="-122"/>
                <a:cs typeface="黑体" panose="02010609060101010101" charset="-122"/>
              </a:rPr>
              <a:t>年</a:t>
            </a:r>
            <a:r>
              <a:rPr lang="en-US" altLang="zh-CN" sz="1400" b="0" i="0" u="none" strike="noStrike" baseline="0">
                <a:solidFill>
                  <a:srgbClr val="333333"/>
                </a:solidFill>
                <a:latin typeface="黑体" panose="02010609060101010101" charset="-122"/>
                <a:ea typeface="黑体" panose="02010609060101010101" charset="-122"/>
                <a:cs typeface="黑体" panose="02010609060101010101" charset="-122"/>
              </a:rPr>
              <a:t>-2019</a:t>
            </a:r>
            <a:r>
              <a:rPr altLang="en-US" sz="1400" b="0" i="0" u="none" strike="noStrike" baseline="0">
                <a:solidFill>
                  <a:srgbClr val="333333"/>
                </a:solidFill>
                <a:latin typeface="黑体" panose="02010609060101010101" charset="-122"/>
                <a:ea typeface="黑体" panose="02010609060101010101" charset="-122"/>
                <a:cs typeface="黑体" panose="02010609060101010101" charset="-122"/>
              </a:rPr>
              <a:t>年城镇居民人均可支配收入及增长速度</a:t>
            </a:r>
            <a:endParaRPr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52382064455862"/>
          <c:y val="0.0462147887323944"/>
        </c:manualLayout>
      </c:layout>
      <c:overlay val="0"/>
      <c:spPr>
        <a:noFill/>
        <a:ln>
          <a:noFill/>
        </a:ln>
        <a:effectLst/>
      </c:spPr>
    </c:title>
    <c:autoTitleDeleted val="0"/>
    <c:plotArea>
      <c:layout/>
      <c:barChart>
        <c:barDir val="col"/>
        <c:grouping val="clustered"/>
        <c:varyColors val="0"/>
        <c:ser>
          <c:idx val="0"/>
          <c:order val="0"/>
          <c:tx>
            <c:strRef>
              <c:f>[公报基础表格.xls]两项收入1!$B$3</c:f>
              <c:strCache>
                <c:ptCount val="1"/>
                <c:pt idx="0">
                  <c:v>绝对值（元）</c:v>
                </c:pt>
              </c:strCache>
            </c:strRef>
          </c:tx>
          <c:spPr>
            <a:gradFill>
              <a:gsLst>
                <a:gs pos="0">
                  <a:srgbClr val="FECF40"/>
                </a:gs>
                <a:gs pos="100000">
                  <a:srgbClr val="846C21"/>
                </a:gs>
              </a:gsLst>
              <a:lin ang="5400000" scaled="0"/>
            </a:gradFill>
            <a:ln>
              <a:noFill/>
            </a:ln>
            <a:effectLst/>
          </c:spPr>
          <c:invertIfNegative val="0"/>
          <c:dLbls>
            <c:dLbl>
              <c:idx val="0"/>
              <c:layout>
                <c:manualLayout>
                  <c:x val="0.00416666666666667"/>
                  <c:y val="0.024305555555555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24305555555555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[公报基础表格.xls]两项收入1!$A$5:$A$9</c:f>
              <c:strCache>
                <c:ptCount val="5"/>
                <c:pt idx="0">
                  <c:v>2015年</c:v>
                </c:pt>
                <c:pt idx="1">
                  <c:v>2016年</c:v>
                </c:pt>
                <c:pt idx="2">
                  <c:v>2017年</c:v>
                </c:pt>
                <c:pt idx="3">
                  <c:v>2018年</c:v>
                </c:pt>
                <c:pt idx="4">
                  <c:v>2019年</c:v>
                </c:pt>
              </c:strCache>
            </c:strRef>
          </c:cat>
          <c:val>
            <c:numRef>
              <c:f>[公报基础表格.xls]两项收入1!$B$5:$B$9</c:f>
              <c:numCache>
                <c:formatCode>General</c:formatCode>
                <c:ptCount val="5"/>
                <c:pt idx="0">
                  <c:v>22868</c:v>
                </c:pt>
                <c:pt idx="1" c:formatCode="0_ ">
                  <c:v>24926.12</c:v>
                </c:pt>
                <c:pt idx="2">
                  <c:v>27344</c:v>
                </c:pt>
                <c:pt idx="3">
                  <c:v>29860</c:v>
                </c:pt>
                <c:pt idx="4">
                  <c:v>32816</c:v>
                </c:pt>
              </c:numCache>
            </c:numRef>
          </c:val>
        </c:ser>
        <c:dLbls>
          <c:showLegendKey val="0"/>
          <c:showVal val="0"/>
          <c:showCatName val="0"/>
          <c:showSerName val="0"/>
          <c:showPercent val="0"/>
          <c:showBubbleSize val="0"/>
        </c:dLbls>
        <c:gapWidth val="219"/>
        <c:overlap val="-27"/>
        <c:axId val="987609496"/>
        <c:axId val="601290176"/>
      </c:barChart>
      <c:lineChart>
        <c:grouping val="standard"/>
        <c:varyColors val="0"/>
        <c:ser>
          <c:idx val="1"/>
          <c:order val="1"/>
          <c:tx>
            <c:strRef>
              <c:f>[公报基础表格.xls]两项收入1!$C$3</c:f>
              <c:strCache>
                <c:ptCount val="1"/>
                <c:pt idx="0">
                  <c:v>比上年增长（%）</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Lbl>
              <c:idx val="0"/>
              <c:layout>
                <c:manualLayout>
                  <c:x val="-0.0520833333333333"/>
                  <c:y val="-0.045138888888888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25"/>
                  <c:y val="0.013888888888888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[公报基础表格.xls]两项收入1!$A$5:$A$9</c:f>
              <c:strCache>
                <c:ptCount val="5"/>
                <c:pt idx="0">
                  <c:v>2015年</c:v>
                </c:pt>
                <c:pt idx="1">
                  <c:v>2016年</c:v>
                </c:pt>
                <c:pt idx="2">
                  <c:v>2017年</c:v>
                </c:pt>
                <c:pt idx="3">
                  <c:v>2018年</c:v>
                </c:pt>
                <c:pt idx="4">
                  <c:v>2019年</c:v>
                </c:pt>
              </c:strCache>
            </c:strRef>
          </c:cat>
          <c:val>
            <c:numRef>
              <c:f>[公报基础表格.xls]两项收入1!$C$5:$C$9</c:f>
              <c:numCache>
                <c:formatCode>General</c:formatCode>
                <c:ptCount val="5"/>
                <c:pt idx="0">
                  <c:v>10.2</c:v>
                </c:pt>
                <c:pt idx="1">
                  <c:v>9.00000000000001</c:v>
                </c:pt>
                <c:pt idx="2">
                  <c:v>9.7</c:v>
                </c:pt>
                <c:pt idx="3">
                  <c:v>9.2</c:v>
                </c:pt>
                <c:pt idx="4">
                  <c:v>9.9</c:v>
                </c:pt>
              </c:numCache>
            </c:numRef>
          </c:val>
          <c:smooth val="0"/>
        </c:ser>
        <c:dLbls>
          <c:showLegendKey val="0"/>
          <c:showVal val="0"/>
          <c:showCatName val="0"/>
          <c:showSerName val="0"/>
          <c:showPercent val="0"/>
          <c:showBubbleSize val="0"/>
        </c:dLbls>
        <c:marker val="1"/>
        <c:smooth val="0"/>
        <c:axId val="587760591"/>
        <c:axId val="896262936"/>
      </c:lineChart>
      <c:catAx>
        <c:axId val="98760949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1290176"/>
        <c:crosses val="autoZero"/>
        <c:auto val="1"/>
        <c:lblAlgn val="ctr"/>
        <c:lblOffset val="100"/>
        <c:noMultiLvlLbl val="0"/>
      </c:catAx>
      <c:valAx>
        <c:axId val="601290176"/>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7609496"/>
        <c:crosses val="autoZero"/>
        <c:crossBetween val="between"/>
      </c:valAx>
      <c:catAx>
        <c:axId val="587760591"/>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595959">
                    <a:alpha val="100000"/>
                  </a:srgbClr>
                </a:solidFill>
                <a:latin typeface="+mn-lt"/>
                <a:ea typeface="+mn-ea"/>
                <a:cs typeface="+mn-cs"/>
              </a:defRPr>
            </a:pPr>
          </a:p>
        </c:txPr>
        <c:crossAx val="896262936"/>
        <c:crosses val="autoZero"/>
        <c:auto val="1"/>
        <c:lblAlgn val="ctr"/>
        <c:lblOffset val="100"/>
        <c:noMultiLvlLbl val="0"/>
      </c:catAx>
      <c:valAx>
        <c:axId val="896262936"/>
        <c:scaling>
          <c:orientation val="minMax"/>
        </c:scaling>
        <c:delete val="0"/>
        <c:axPos val="r"/>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760591"/>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atin typeface="黑体" panose="02010609060101010101" charset="-122"/>
                <a:ea typeface="黑体" panose="02010609060101010101" charset="-122"/>
                <a:cs typeface="黑体" panose="02010609060101010101" charset="-122"/>
              </a:rPr>
              <a:t>201</a:t>
            </a:r>
            <a:r>
              <a:rPr lang="en-US" altLang="zh-CN">
                <a:latin typeface="黑体" panose="02010609060101010101" charset="-122"/>
                <a:ea typeface="黑体" panose="02010609060101010101" charset="-122"/>
                <a:cs typeface="黑体" panose="02010609060101010101" charset="-122"/>
              </a:rPr>
              <a:t>5</a:t>
            </a:r>
            <a:r>
              <a:rPr>
                <a:latin typeface="黑体" panose="02010609060101010101" charset="-122"/>
                <a:ea typeface="黑体" panose="02010609060101010101" charset="-122"/>
                <a:cs typeface="黑体" panose="02010609060101010101" charset="-122"/>
              </a:rPr>
              <a:t>年-201</a:t>
            </a:r>
            <a:r>
              <a:rPr lang="en-US" altLang="zh-CN">
                <a:latin typeface="黑体" panose="02010609060101010101" charset="-122"/>
                <a:ea typeface="黑体" panose="02010609060101010101" charset="-122"/>
                <a:cs typeface="黑体" panose="02010609060101010101" charset="-122"/>
              </a:rPr>
              <a:t>9</a:t>
            </a:r>
            <a:r>
              <a:rPr>
                <a:latin typeface="黑体" panose="02010609060101010101" charset="-122"/>
                <a:ea typeface="黑体" panose="02010609060101010101" charset="-122"/>
                <a:cs typeface="黑体" panose="02010609060101010101" charset="-122"/>
              </a:rPr>
              <a:t>年城镇居民人均可支配收入及增长速度</a:t>
            </a:r>
            <a:endParaRPr sz="1400" b="0" i="0" u="none" strike="noStrike" baseline="0">
              <a:solidFill>
                <a:srgbClr val="595959">
                  <a:alpha val="100000"/>
                </a:srgbClr>
              </a:solidFill>
              <a:latin typeface="黑体" panose="02010609060101010101" charset="-122"/>
              <a:ea typeface="黑体" panose="02010609060101010101" charset="-122"/>
              <a:cs typeface="黑体" panose="02010609060101010101" charset="-122"/>
            </a:endParaRPr>
          </a:p>
        </c:rich>
      </c:tx>
      <c:layout>
        <c:manualLayout>
          <c:xMode val="edge"/>
          <c:yMode val="edge"/>
          <c:x val="0.143297746144721"/>
          <c:y val="0.0348432055749129"/>
        </c:manualLayout>
      </c:layout>
      <c:overlay val="0"/>
      <c:spPr>
        <a:noFill/>
        <a:ln>
          <a:noFill/>
        </a:ln>
        <a:effectLst/>
      </c:spPr>
    </c:title>
    <c:autoTitleDeleted val="0"/>
    <c:plotArea>
      <c:layout/>
      <c:barChart>
        <c:barDir val="col"/>
        <c:grouping val="clustered"/>
        <c:varyColors val="0"/>
        <c:ser>
          <c:idx val="0"/>
          <c:order val="0"/>
          <c:tx>
            <c:strRef>
              <c:f>[公报基础表格.xls]两项收入1!$B$26</c:f>
              <c:strCache>
                <c:ptCount val="1"/>
                <c:pt idx="0">
                  <c:v>绝对值（元）</c:v>
                </c:pt>
              </c:strCache>
            </c:strRef>
          </c:tx>
          <c:spPr>
            <a:gradFill>
              <a:gsLst>
                <a:gs pos="0">
                  <a:srgbClr val="FECF40"/>
                </a:gs>
                <a:gs pos="100000">
                  <a:srgbClr val="846C21"/>
                </a:gs>
              </a:gsLst>
              <a:lin ang="5400000" scaled="0"/>
            </a:gradFill>
            <a:ln>
              <a:noFill/>
            </a:ln>
            <a:effectLst/>
          </c:spPr>
          <c:invertIfNegative val="0"/>
          <c:dLbls>
            <c:dLbl>
              <c:idx val="1"/>
              <c:layout>
                <c:manualLayout>
                  <c:x val="0.00416666666666667"/>
                  <c:y val="0.090277777777777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34826589595376"/>
                  <c:y val="0.13607815771109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78034682080925"/>
                  <c:y val="0.11165387299371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80635838150289"/>
                  <c:y val="0.03838101884159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[公报基础表格.xls]两项收入1!$A$28:$A$32</c:f>
              <c:strCache>
                <c:ptCount val="5"/>
                <c:pt idx="0">
                  <c:v>2015年</c:v>
                </c:pt>
                <c:pt idx="1">
                  <c:v>2016年</c:v>
                </c:pt>
                <c:pt idx="2">
                  <c:v>2017年</c:v>
                </c:pt>
                <c:pt idx="3">
                  <c:v>2018年</c:v>
                </c:pt>
                <c:pt idx="4">
                  <c:v>2019年</c:v>
                </c:pt>
              </c:strCache>
            </c:strRef>
          </c:cat>
          <c:val>
            <c:numRef>
              <c:f>[公报基础表格.xls]两项收入1!$B$28:$B$32</c:f>
              <c:numCache>
                <c:formatCode>0_ </c:formatCode>
                <c:ptCount val="5"/>
                <c:pt idx="0">
                  <c:v>7847</c:v>
                </c:pt>
                <c:pt idx="1">
                  <c:v>8576.771</c:v>
                </c:pt>
                <c:pt idx="2">
                  <c:v>9469</c:v>
                </c:pt>
                <c:pt idx="3">
                  <c:v>10492</c:v>
                </c:pt>
                <c:pt idx="4" c:formatCode="General">
                  <c:v>11625</c:v>
                </c:pt>
              </c:numCache>
            </c:numRef>
          </c:val>
        </c:ser>
        <c:dLbls>
          <c:showLegendKey val="0"/>
          <c:showVal val="0"/>
          <c:showCatName val="0"/>
          <c:showSerName val="0"/>
          <c:showPercent val="0"/>
          <c:showBubbleSize val="0"/>
        </c:dLbls>
        <c:gapWidth val="219"/>
        <c:overlap val="-27"/>
        <c:axId val="815146137"/>
        <c:axId val="471631176"/>
      </c:barChart>
      <c:lineChart>
        <c:grouping val="standard"/>
        <c:varyColors val="0"/>
        <c:ser>
          <c:idx val="1"/>
          <c:order val="1"/>
          <c:tx>
            <c:strRef>
              <c:f>[公报基础表格.xls]两项收入1!$C$26</c:f>
              <c:strCache>
                <c:ptCount val="1"/>
                <c:pt idx="0">
                  <c:v>比上年增长（%）</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Lbl>
              <c:idx val="1"/>
              <c:layout>
                <c:manualLayout>
                  <c:x val="-0.0291666666666667"/>
                  <c:y val="-0.041666666666666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608622350674374"/>
                  <c:y val="-0.059570539660386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698940269749518"/>
                  <c:y val="-0.038686322400558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[公报基础表格.xls]两项收入1!$A$28:$A$32</c:f>
              <c:strCache>
                <c:ptCount val="5"/>
                <c:pt idx="0">
                  <c:v>2015年</c:v>
                </c:pt>
                <c:pt idx="1">
                  <c:v>2016年</c:v>
                </c:pt>
                <c:pt idx="2">
                  <c:v>2017年</c:v>
                </c:pt>
                <c:pt idx="3">
                  <c:v>2018年</c:v>
                </c:pt>
                <c:pt idx="4">
                  <c:v>2019年</c:v>
                </c:pt>
              </c:strCache>
            </c:strRef>
          </c:cat>
          <c:val>
            <c:numRef>
              <c:f>[公报基础表格.xls]两项收入1!$C$28:$C$32</c:f>
              <c:numCache>
                <c:formatCode>General</c:formatCode>
                <c:ptCount val="5"/>
                <c:pt idx="0">
                  <c:v>10.8</c:v>
                </c:pt>
                <c:pt idx="1">
                  <c:v>9.3</c:v>
                </c:pt>
                <c:pt idx="2">
                  <c:v>10.4</c:v>
                </c:pt>
                <c:pt idx="3">
                  <c:v>10.8</c:v>
                </c:pt>
                <c:pt idx="4">
                  <c:v>10.8</c:v>
                </c:pt>
              </c:numCache>
            </c:numRef>
          </c:val>
          <c:smooth val="0"/>
        </c:ser>
        <c:dLbls>
          <c:showLegendKey val="0"/>
          <c:showVal val="0"/>
          <c:showCatName val="0"/>
          <c:showSerName val="0"/>
          <c:showPercent val="0"/>
          <c:showBubbleSize val="0"/>
        </c:dLbls>
        <c:marker val="1"/>
        <c:smooth val="0"/>
        <c:axId val="890200090"/>
        <c:axId val="836949195"/>
      </c:lineChart>
      <c:catAx>
        <c:axId val="815146137"/>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1631176"/>
        <c:crosses val="autoZero"/>
        <c:auto val="1"/>
        <c:lblAlgn val="ctr"/>
        <c:lblOffset val="100"/>
        <c:noMultiLvlLbl val="0"/>
      </c:catAx>
      <c:valAx>
        <c:axId val="471631176"/>
        <c:scaling>
          <c:orientation val="minMax"/>
        </c:scaling>
        <c:delete val="0"/>
        <c:axPos val="l"/>
        <c:numFmt formatCode="0_ "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5146137"/>
        <c:crosses val="autoZero"/>
        <c:crossBetween val="between"/>
      </c:valAx>
      <c:catAx>
        <c:axId val="890200090"/>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595959">
                    <a:alpha val="100000"/>
                  </a:srgbClr>
                </a:solidFill>
                <a:latin typeface="+mn-lt"/>
                <a:ea typeface="+mn-ea"/>
                <a:cs typeface="+mn-cs"/>
              </a:defRPr>
            </a:pPr>
          </a:p>
        </c:txPr>
        <c:crossAx val="836949195"/>
        <c:crosses val="autoZero"/>
        <c:auto val="1"/>
        <c:lblAlgn val="ctr"/>
        <c:lblOffset val="100"/>
        <c:noMultiLvlLbl val="0"/>
      </c:catAx>
      <c:valAx>
        <c:axId val="836949195"/>
        <c:scaling>
          <c:orientation val="minMax"/>
        </c:scaling>
        <c:delete val="0"/>
        <c:axPos val="r"/>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0200090"/>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2019-05-05T01:39:00Z</dcterms:created>
  <dc:creator>んōρе</dc:creator>
  <cp:lastModifiedBy>WPS_1528116139</cp:lastModifiedBy>
  <cp:lastPrinted>2020-11-16T07:38:00Z</cp:lastPrinted>
  <dcterms:modified xsi:type="dcterms:W3CDTF">2020-12-03T02:40:27Z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