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default" w:ascii="黑体" w:hAnsi="黑体" w:eastAsia="黑体" w:cs="Times New Roman"/>
          <w:color w:val="535353" w:themeColor="text1"/>
          <w:sz w:val="32"/>
          <w:szCs w:val="32"/>
          <w:lang w:val="en-US" w:eastAsia="zh-CN"/>
          <w14:textFill>
            <w14:solidFill>
              <w14:schemeClr w14:val="tx1"/>
            </w14:solidFill>
          </w14:textFill>
        </w:rPr>
      </w:pPr>
      <w:r>
        <w:rPr>
          <w:rFonts w:ascii="黑体" w:hAnsi="黑体" w:eastAsia="黑体" w:cs="Times New Roman"/>
          <w:color w:val="535353" w:themeColor="text1"/>
          <w:sz w:val="32"/>
          <w:szCs w:val="32"/>
          <w14:textFill>
            <w14:solidFill>
              <w14:schemeClr w14:val="tx1"/>
            </w14:solidFill>
          </w14:textFill>
        </w:rPr>
        <w:t>附件</w:t>
      </w:r>
      <w:r>
        <w:rPr>
          <w:rFonts w:hint="eastAsia" w:ascii="黑体" w:hAnsi="黑体" w:eastAsia="黑体" w:cs="Times New Roman"/>
          <w:color w:val="535353" w:themeColor="text1"/>
          <w:sz w:val="32"/>
          <w:szCs w:val="32"/>
          <w:lang w:val="en-US" w:eastAsia="zh-CN"/>
          <w14:textFill>
            <w14:solidFill>
              <w14:schemeClr w14:val="tx1"/>
            </w14:solidFill>
          </w14:textFill>
        </w:rPr>
        <w:t>3:</w:t>
      </w:r>
    </w:p>
    <w:p>
      <w:pPr>
        <w:spacing w:line="594" w:lineRule="exact"/>
        <w:ind w:firstLine="880" w:firstLineChars="200"/>
        <w:jc w:val="center"/>
        <w:rPr>
          <w:rFonts w:ascii="方正小标宋简体" w:hAnsi="Times New Roman" w:eastAsia="方正小标宋简体" w:cs="Times New Roman"/>
          <w:color w:val="535353" w:themeColor="text1"/>
          <w:sz w:val="44"/>
          <w:szCs w:val="44"/>
          <w14:textFill>
            <w14:solidFill>
              <w14:schemeClr w14:val="tx1"/>
            </w14:solidFill>
          </w14:textFill>
        </w:rPr>
      </w:pPr>
      <w:r>
        <w:rPr>
          <w:rFonts w:hint="eastAsia" w:ascii="方正小标宋简体" w:hAnsi="Times New Roman" w:eastAsia="方正小标宋简体" w:cs="Times New Roman"/>
          <w:color w:val="535353" w:themeColor="text1"/>
          <w:sz w:val="44"/>
          <w:szCs w:val="44"/>
          <w14:textFill>
            <w14:solidFill>
              <w14:schemeClr w14:val="tx1"/>
            </w14:solidFill>
          </w14:textFill>
        </w:rPr>
        <w:t>不合格检验项目小知识</w:t>
      </w:r>
    </w:p>
    <w:p>
      <w:pPr>
        <w:spacing w:line="594" w:lineRule="exact"/>
        <w:ind w:firstLine="640" w:firstLineChars="200"/>
        <w:jc w:val="center"/>
        <w:rPr>
          <w:rFonts w:ascii="Times New Roman" w:hAnsi="Times New Roman" w:eastAsia="仿宋_GB2312" w:cs="Times New Roman"/>
          <w:color w:val="535353"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镉（以Cd计）</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eastAsia" w:ascii="仿宋_GB2312" w:hAnsi="仿宋_GB2312" w:eastAsia="仿宋_GB2312" w:cs="仿宋_GB2312"/>
          <w:b w:val="0"/>
          <w:bCs w:val="0"/>
          <w:color w:val="535353" w:themeColor="text1"/>
          <w:sz w:val="32"/>
          <w:szCs w:val="32"/>
          <w14:textFill>
            <w14:solidFill>
              <w14:schemeClr w14:val="tx1"/>
            </w14:solidFill>
          </w14:textFill>
        </w:rPr>
      </w:pPr>
      <w:r>
        <w:rPr>
          <w:rFonts w:hint="eastAsia" w:ascii="仿宋_GB2312" w:hAnsi="仿宋_GB2312" w:eastAsia="仿宋_GB2312" w:cs="仿宋_GB2312"/>
          <w:b w:val="0"/>
          <w:bCs w:val="0"/>
          <w:color w:val="535353" w:themeColor="text1"/>
          <w:sz w:val="32"/>
          <w:szCs w:val="32"/>
          <w14:textFill>
            <w14:solidFill>
              <w14:schemeClr w14:val="tx1"/>
            </w14:solidFill>
          </w14:textFill>
        </w:rPr>
        <w:t>镉是一种蓄积性的重金属元素，可通过食物链进入人体</w:t>
      </w:r>
      <w:bookmarkStart w:id="0" w:name="OLE_LINK6"/>
      <w:r>
        <w:rPr>
          <w:rFonts w:hint="eastAsia" w:ascii="仿宋_GB2312" w:hAnsi="仿宋_GB2312" w:eastAsia="仿宋_GB2312" w:cs="仿宋_GB2312"/>
          <w:b w:val="0"/>
          <w:bCs w:val="0"/>
          <w:color w:val="535353" w:themeColor="text1"/>
          <w:sz w:val="32"/>
          <w:szCs w:val="32"/>
          <w14:textFill>
            <w14:solidFill>
              <w14:schemeClr w14:val="tx1"/>
            </w14:solidFill>
          </w14:textFill>
        </w:rPr>
        <w:t>。长期食用镉超标的食品，可能会对人体肾脏和肝脏造成损害，还会影响免疫系统，甚至可能对儿童高级神经活动有损害。《食品安全国家标准 食品中污染物限量》（GB 2762—</w:t>
      </w: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2022</w:t>
      </w:r>
      <w:r>
        <w:rPr>
          <w:rFonts w:hint="eastAsia" w:ascii="仿宋_GB2312" w:hAnsi="仿宋_GB2312" w:eastAsia="仿宋_GB2312" w:cs="仿宋_GB2312"/>
          <w:b w:val="0"/>
          <w:bCs w:val="0"/>
          <w:color w:val="535353" w:themeColor="text1"/>
          <w:sz w:val="32"/>
          <w:szCs w:val="32"/>
          <w14:textFill>
            <w14:solidFill>
              <w14:schemeClr w14:val="tx1"/>
            </w14:solidFill>
          </w14:textFill>
        </w:rPr>
        <w:t>）中规定，</w:t>
      </w:r>
      <w:bookmarkStart w:id="1" w:name="OLE_LINK1"/>
      <w:r>
        <w:rPr>
          <w:rFonts w:hint="eastAsia" w:ascii="仿宋_GB2312" w:hAnsi="仿宋_GB2312" w:eastAsia="仿宋_GB2312" w:cs="仿宋_GB2312"/>
          <w:b w:val="0"/>
          <w:bCs w:val="0"/>
          <w:color w:val="535353" w:themeColor="text1"/>
          <w:sz w:val="32"/>
          <w:szCs w:val="32"/>
          <w14:textFill>
            <w14:solidFill>
              <w14:schemeClr w14:val="tx1"/>
            </w14:solidFill>
          </w14:textFill>
        </w:rPr>
        <w:t>镉</w:t>
      </w:r>
      <w:r>
        <w:rPr>
          <w:rFonts w:hint="eastAsia" w:ascii="仿宋_GB2312" w:hAnsi="仿宋_GB2312" w:eastAsia="仿宋_GB2312" w:cs="仿宋_GB2312"/>
          <w:b w:val="0"/>
          <w:bCs w:val="0"/>
          <w:sz w:val="32"/>
          <w:szCs w:val="32"/>
        </w:rPr>
        <w:t>（以Cd计）</w:t>
      </w:r>
      <w:bookmarkEnd w:id="1"/>
      <w:r>
        <w:rPr>
          <w:rFonts w:hint="eastAsia" w:ascii="仿宋_GB2312" w:hAnsi="仿宋_GB2312" w:eastAsia="仿宋_GB2312" w:cs="仿宋_GB2312"/>
          <w:b w:val="0"/>
          <w:bCs w:val="0"/>
          <w:color w:val="535353" w:themeColor="text1"/>
          <w:sz w:val="32"/>
          <w:szCs w:val="32"/>
          <w14:textFill>
            <w14:solidFill>
              <w14:schemeClr w14:val="tx1"/>
            </w14:solidFill>
          </w14:textFill>
        </w:rPr>
        <w:t>在新鲜蔬菜（叶菜蔬菜、豆类蔬菜、块根和块茎蔬菜、茎类蔬菜、黄花菜除外）中的限量值为</w:t>
      </w:r>
      <w:bookmarkStart w:id="2" w:name="OLE_LINK2"/>
      <w:r>
        <w:rPr>
          <w:rFonts w:hint="eastAsia" w:ascii="仿宋_GB2312" w:hAnsi="仿宋_GB2312" w:eastAsia="仿宋_GB2312" w:cs="仿宋_GB2312"/>
          <w:b w:val="0"/>
          <w:bCs w:val="0"/>
          <w:color w:val="535353" w:themeColor="text1"/>
          <w:sz w:val="32"/>
          <w:szCs w:val="32"/>
          <w14:textFill>
            <w14:solidFill>
              <w14:schemeClr w14:val="tx1"/>
            </w14:solidFill>
          </w14:textFill>
        </w:rPr>
        <w:t>0.05mg/kg</w:t>
      </w:r>
      <w:bookmarkEnd w:id="2"/>
      <w:r>
        <w:rPr>
          <w:rFonts w:hint="eastAsia" w:ascii="仿宋_GB2312" w:hAnsi="仿宋_GB2312" w:eastAsia="仿宋_GB2312" w:cs="仿宋_GB2312"/>
          <w:b w:val="0"/>
          <w:bCs w:val="0"/>
          <w:color w:val="535353" w:themeColor="text1"/>
          <w:sz w:val="32"/>
          <w:szCs w:val="32"/>
          <w14:textFill>
            <w14:solidFill>
              <w14:schemeClr w14:val="tx1"/>
            </w14:solidFill>
          </w14:textFill>
        </w:rPr>
        <w:t>。镉</w:t>
      </w:r>
      <w:r>
        <w:rPr>
          <w:rFonts w:hint="eastAsia" w:ascii="仿宋_GB2312" w:hAnsi="仿宋_GB2312" w:eastAsia="仿宋_GB2312" w:cs="仿宋_GB2312"/>
          <w:b w:val="0"/>
          <w:bCs w:val="0"/>
          <w:sz w:val="32"/>
          <w:szCs w:val="32"/>
        </w:rPr>
        <w:t>（以Cd计）</w:t>
      </w:r>
      <w:r>
        <w:rPr>
          <w:rFonts w:hint="eastAsia" w:ascii="仿宋_GB2312" w:hAnsi="仿宋_GB2312" w:eastAsia="仿宋_GB2312" w:cs="仿宋_GB2312"/>
          <w:b w:val="0"/>
          <w:bCs w:val="0"/>
          <w:sz w:val="32"/>
          <w:szCs w:val="32"/>
          <w:lang w:eastAsia="zh-CN"/>
        </w:rPr>
        <w:t>在猪肝中的限量值为</w:t>
      </w:r>
      <w:bookmarkEnd w:id="0"/>
      <w:r>
        <w:rPr>
          <w:rFonts w:hint="eastAsia" w:ascii="仿宋_GB2312" w:hAnsi="仿宋_GB2312" w:eastAsia="仿宋_GB2312" w:cs="仿宋_GB2312"/>
          <w:b w:val="0"/>
          <w:bCs w:val="0"/>
          <w:color w:val="535353" w:themeColor="text1"/>
          <w:sz w:val="32"/>
          <w:szCs w:val="32"/>
          <w14:textFill>
            <w14:solidFill>
              <w14:schemeClr w14:val="tx1"/>
            </w14:solidFill>
          </w14:textFill>
        </w:rPr>
        <w:t>0.5mg/kg</w:t>
      </w:r>
      <w:r>
        <w:rPr>
          <w:rFonts w:hint="eastAsia" w:ascii="仿宋_GB2312" w:hAnsi="仿宋_GB2312" w:eastAsia="仿宋_GB2312" w:cs="仿宋_GB2312"/>
          <w:b w:val="0"/>
          <w:bCs w:val="0"/>
          <w:color w:val="535353"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红小米辣</w:t>
      </w:r>
      <w:r>
        <w:rPr>
          <w:rFonts w:hint="eastAsia" w:ascii="仿宋_GB2312" w:hAnsi="仿宋_GB2312" w:eastAsia="仿宋_GB2312" w:cs="仿宋_GB2312"/>
          <w:b w:val="0"/>
          <w:bCs w:val="0"/>
          <w:color w:val="535353" w:themeColor="text1"/>
          <w:sz w:val="32"/>
          <w:szCs w:val="32"/>
          <w14:textFill>
            <w14:solidFill>
              <w14:schemeClr w14:val="tx1"/>
            </w14:solidFill>
          </w14:textFill>
        </w:rPr>
        <w:t>中镉（以Cd计）检测值超标的原因，可能是其生长过程中富集镉元素。</w:t>
      </w:r>
      <w:r>
        <w:rPr>
          <w:rFonts w:hint="eastAsia" w:ascii="仿宋_GB2312" w:hAnsi="仿宋_GB2312" w:eastAsia="仿宋_GB2312" w:cs="仿宋_GB2312"/>
          <w:b w:val="0"/>
          <w:bCs w:val="0"/>
          <w:color w:val="535353" w:themeColor="text1"/>
          <w:sz w:val="32"/>
          <w:szCs w:val="32"/>
          <w:lang w:eastAsia="zh-CN"/>
          <w14:textFill>
            <w14:solidFill>
              <w14:schemeClr w14:val="tx1"/>
            </w14:solidFill>
          </w14:textFill>
        </w:rPr>
        <w:t>猪肝</w:t>
      </w:r>
      <w:r>
        <w:rPr>
          <w:rFonts w:hint="eastAsia" w:ascii="仿宋_GB2312" w:hAnsi="仿宋_GB2312" w:eastAsia="仿宋_GB2312" w:cs="仿宋_GB2312"/>
          <w:b w:val="0"/>
          <w:bCs w:val="0"/>
          <w:color w:val="535353" w:themeColor="text1"/>
          <w:sz w:val="32"/>
          <w:szCs w:val="32"/>
          <w14:textFill>
            <w14:solidFill>
              <w14:schemeClr w14:val="tx1"/>
            </w14:solidFill>
          </w14:textFill>
        </w:rPr>
        <w:t>中镉超标可能是</w:t>
      </w:r>
      <w:r>
        <w:rPr>
          <w:rFonts w:hint="eastAsia" w:ascii="仿宋_GB2312" w:hAnsi="仿宋_GB2312" w:eastAsia="仿宋_GB2312" w:cs="仿宋_GB2312"/>
          <w:b w:val="0"/>
          <w:bCs w:val="0"/>
          <w:color w:val="535353" w:themeColor="text1"/>
          <w:sz w:val="32"/>
          <w:szCs w:val="32"/>
          <w:lang w:eastAsia="zh-CN"/>
          <w14:textFill>
            <w14:solidFill>
              <w14:schemeClr w14:val="tx1"/>
            </w14:solidFill>
          </w14:textFill>
        </w:rPr>
        <w:t>猪</w:t>
      </w:r>
      <w:r>
        <w:rPr>
          <w:rFonts w:hint="eastAsia" w:ascii="仿宋_GB2312" w:hAnsi="仿宋_GB2312" w:eastAsia="仿宋_GB2312" w:cs="仿宋_GB2312"/>
          <w:b w:val="0"/>
          <w:bCs w:val="0"/>
          <w:color w:val="535353" w:themeColor="text1"/>
          <w:sz w:val="32"/>
          <w:szCs w:val="32"/>
          <w14:textFill>
            <w14:solidFill>
              <w14:schemeClr w14:val="tx1"/>
            </w14:solidFill>
          </w14:textFill>
        </w:rPr>
        <w:t>养殖过程中对环境中镉元素的富集。</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eastAsia" w:ascii="黑体" w:hAnsi="黑体" w:eastAsia="黑体" w:cs="黑体"/>
          <w:b w:val="0"/>
          <w:bCs w:val="0"/>
          <w:color w:val="535353" w:themeColor="text1"/>
          <w:sz w:val="32"/>
          <w:szCs w:val="32"/>
          <w14:textFill>
            <w14:solidFill>
              <w14:schemeClr w14:val="tx1"/>
            </w14:solidFill>
          </w14:textFill>
        </w:rPr>
      </w:pPr>
      <w:r>
        <w:rPr>
          <w:rFonts w:hint="eastAsia" w:ascii="黑体" w:hAnsi="黑体" w:eastAsia="黑体" w:cs="黑体"/>
          <w:b w:val="0"/>
          <w:bCs w:val="0"/>
          <w:color w:val="535353" w:themeColor="text1"/>
          <w:sz w:val="32"/>
          <w:szCs w:val="32"/>
          <w:lang w:val="en-US" w:eastAsia="zh-CN"/>
          <w14:textFill>
            <w14:solidFill>
              <w14:schemeClr w14:val="tx1"/>
            </w14:solidFill>
          </w14:textFill>
        </w:rPr>
        <w:t>2.</w:t>
      </w:r>
      <w:r>
        <w:rPr>
          <w:rFonts w:hint="eastAsia" w:ascii="黑体" w:hAnsi="黑体" w:eastAsia="黑体" w:cs="黑体"/>
          <w:b w:val="0"/>
          <w:bCs w:val="0"/>
          <w:color w:val="535353" w:themeColor="text1"/>
          <w:sz w:val="32"/>
          <w:szCs w:val="32"/>
          <w14:textFill>
            <w14:solidFill>
              <w14:schemeClr w14:val="tx1"/>
            </w14:solidFill>
          </w14:textFill>
        </w:rPr>
        <w:t>恩诺沙星</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eastAsia" w:ascii="仿宋_GB2312" w:hAnsi="仿宋_GB2312" w:eastAsia="仿宋_GB2312" w:cs="仿宋_GB2312"/>
          <w:b w:val="0"/>
          <w:bCs w:val="0"/>
          <w:color w:val="535353" w:themeColor="text1"/>
          <w:sz w:val="32"/>
          <w:szCs w:val="32"/>
          <w14:textFill>
            <w14:solidFill>
              <w14:schemeClr w14:val="tx1"/>
            </w14:solidFill>
          </w14:textFill>
        </w:rPr>
      </w:pPr>
      <w:r>
        <w:rPr>
          <w:rFonts w:hint="eastAsia" w:ascii="仿宋_GB2312" w:hAnsi="仿宋_GB2312" w:eastAsia="仿宋_GB2312" w:cs="仿宋_GB2312"/>
          <w:b w:val="0"/>
          <w:bCs w:val="0"/>
          <w:color w:val="535353" w:themeColor="text1"/>
          <w:sz w:val="32"/>
          <w:szCs w:val="32"/>
          <w14:textFill>
            <w14:solidFill>
              <w14:schemeClr w14:val="tx1"/>
            </w14:solidFill>
          </w14:textFill>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食品安全国家标准 食品中兽药最大残留限量》（GB 31650—2019）中规定，恩诺沙星在</w:t>
      </w:r>
      <w:r>
        <w:rPr>
          <w:rFonts w:hint="eastAsia" w:ascii="仿宋_GB2312" w:hAnsi="仿宋_GB2312" w:eastAsia="仿宋_GB2312" w:cs="仿宋_GB2312"/>
          <w:b w:val="0"/>
          <w:bCs w:val="0"/>
          <w:color w:val="535353" w:themeColor="text1"/>
          <w:sz w:val="32"/>
          <w:szCs w:val="32"/>
          <w:lang w:eastAsia="zh-CN"/>
          <w14:textFill>
            <w14:solidFill>
              <w14:schemeClr w14:val="tx1"/>
            </w14:solidFill>
          </w14:textFill>
        </w:rPr>
        <w:t>猪肉</w:t>
      </w:r>
      <w:r>
        <w:rPr>
          <w:rFonts w:hint="eastAsia" w:ascii="仿宋_GB2312" w:hAnsi="仿宋_GB2312" w:eastAsia="仿宋_GB2312" w:cs="仿宋_GB2312"/>
          <w:b w:val="0"/>
          <w:bCs w:val="0"/>
          <w:color w:val="535353" w:themeColor="text1"/>
          <w:sz w:val="32"/>
          <w:szCs w:val="32"/>
          <w14:textFill>
            <w14:solidFill>
              <w14:schemeClr w14:val="tx1"/>
            </w14:solidFill>
          </w14:textFill>
        </w:rPr>
        <w:t>中最大残留限量值为100μg/kg。</w:t>
      </w:r>
      <w:r>
        <w:rPr>
          <w:rFonts w:hint="eastAsia" w:ascii="仿宋_GB2312" w:hAnsi="仿宋_GB2312" w:eastAsia="仿宋_GB2312" w:cs="仿宋_GB2312"/>
          <w:b w:val="0"/>
          <w:bCs w:val="0"/>
          <w:color w:val="535353" w:themeColor="text1"/>
          <w:sz w:val="32"/>
          <w:szCs w:val="32"/>
          <w:lang w:eastAsia="zh-CN"/>
          <w14:textFill>
            <w14:solidFill>
              <w14:schemeClr w14:val="tx1"/>
            </w14:solidFill>
          </w14:textFill>
        </w:rPr>
        <w:t>猪肉</w:t>
      </w:r>
      <w:r>
        <w:rPr>
          <w:rFonts w:hint="eastAsia" w:ascii="仿宋_GB2312" w:hAnsi="仿宋_GB2312" w:eastAsia="仿宋_GB2312" w:cs="仿宋_GB2312"/>
          <w:b w:val="0"/>
          <w:bCs w:val="0"/>
          <w:color w:val="535353" w:themeColor="text1"/>
          <w:sz w:val="32"/>
          <w:szCs w:val="32"/>
          <w14:textFill>
            <w14:solidFill>
              <w14:schemeClr w14:val="tx1"/>
            </w14:solidFill>
          </w14:textFill>
        </w:rPr>
        <w:t>中恩诺沙星残留量超标的原因，可能是在养殖过程中为快速控制疫病，违规加大用药量或不遵守休药期规定，致使上市销售产品中的药物残留量超标。</w:t>
      </w:r>
    </w:p>
    <w:p>
      <w:pPr>
        <w:pStyle w:val="2"/>
        <w:keepNext w:val="0"/>
        <w:keepLines w:val="0"/>
        <w:pageBreakBefore w:val="0"/>
        <w:kinsoku/>
        <w:wordWrap/>
        <w:overflowPunct/>
        <w:topLinePunct w:val="0"/>
        <w:autoSpaceDE/>
        <w:autoSpaceDN/>
        <w:bidi w:val="0"/>
        <w:snapToGrid/>
        <w:spacing w:after="0" w:line="500" w:lineRule="exact"/>
        <w:textAlignment w:val="auto"/>
        <w:rPr>
          <w:rFonts w:hint="eastAsia" w:ascii="黑体" w:hAnsi="黑体" w:eastAsia="黑体" w:cs="黑体"/>
          <w:b w:val="0"/>
          <w:bCs w:val="0"/>
          <w:color w:val="535353" w:themeColor="text1"/>
          <w:sz w:val="32"/>
          <w:szCs w:val="32"/>
          <w:lang w:val="en-US" w:eastAsia="zh-CN"/>
          <w14:textFill>
            <w14:solidFill>
              <w14:schemeClr w14:val="tx1"/>
            </w14:solidFill>
          </w14:textFill>
        </w:rPr>
      </w:pPr>
      <w:r>
        <w:rPr>
          <w:rFonts w:hint="eastAsia" w:ascii="黑体" w:hAnsi="黑体" w:eastAsia="黑体" w:cs="黑体"/>
          <w:b w:val="0"/>
          <w:bCs w:val="0"/>
          <w:color w:val="535353" w:themeColor="text1"/>
          <w:sz w:val="32"/>
          <w:szCs w:val="32"/>
          <w:lang w:val="en-US" w:eastAsia="zh-CN"/>
          <w14:textFill>
            <w14:solidFill>
              <w14:schemeClr w14:val="tx1"/>
            </w14:solidFill>
          </w14:textFill>
        </w:rPr>
        <w:t>3.多菌灵</w:t>
      </w:r>
    </w:p>
    <w:p>
      <w:pPr>
        <w:pStyle w:val="2"/>
        <w:keepNext w:val="0"/>
        <w:keepLines w:val="0"/>
        <w:pageBreakBefore w:val="0"/>
        <w:kinsoku/>
        <w:wordWrap/>
        <w:overflowPunct/>
        <w:topLinePunct w:val="0"/>
        <w:autoSpaceDE/>
        <w:autoSpaceDN/>
        <w:bidi w:val="0"/>
        <w:snapToGrid/>
        <w:spacing w:after="0" w:line="500" w:lineRule="exact"/>
        <w:textAlignment w:val="auto"/>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pPr>
      <w:bookmarkStart w:id="3" w:name="OLE_LINK3"/>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多菌灵</w:t>
      </w:r>
      <w:bookmarkEnd w:id="3"/>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是一种广谱性杀菌剂，对多种作物由真菌引起的病害具有防治效果，《食品安全国家标准 食品中农药</w:t>
      </w:r>
      <w:bookmarkStart w:id="6" w:name="_GoBack"/>
      <w:bookmarkEnd w:id="6"/>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最大残留限量》（GB 2763—2021）中规定，多菌灵在食荚豌豆中的最大残留限量值为0.02</w:t>
      </w:r>
      <w:bookmarkStart w:id="4" w:name="OLE_LINK4"/>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mg/kg</w:t>
      </w:r>
      <w:bookmarkEnd w:id="4"/>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。食荚豌豆中多菌灵超标的原因，可能是菜农对使用农药的安全间隔期不了解，从而违规使用农药。</w:t>
      </w:r>
    </w:p>
    <w:p>
      <w:pPr>
        <w:keepNext w:val="0"/>
        <w:keepLines w:val="0"/>
        <w:pageBreakBefore w:val="0"/>
        <w:kinsoku/>
        <w:wordWrap/>
        <w:overflowPunct/>
        <w:topLinePunct w:val="0"/>
        <w:autoSpaceDE/>
        <w:autoSpaceDN/>
        <w:bidi w:val="0"/>
        <w:snapToGrid/>
        <w:spacing w:line="500" w:lineRule="exact"/>
        <w:textAlignment w:val="auto"/>
        <w:rPr>
          <w:rFonts w:hint="eastAsia" w:ascii="黑体" w:hAnsi="黑体" w:eastAsia="黑体" w:cs="黑体"/>
          <w:b w:val="0"/>
          <w:bCs w:val="0"/>
          <w:color w:val="535353"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535353" w:themeColor="text1"/>
          <w:sz w:val="32"/>
          <w:szCs w:val="32"/>
          <w:lang w:val="en-US" w:eastAsia="zh-CN"/>
          <w14:textFill>
            <w14:solidFill>
              <w14:schemeClr w14:val="tx1"/>
            </w14:solidFill>
          </w14:textFill>
        </w:rPr>
        <w:t xml:space="preserve"> 4.联苯菊酯</w:t>
      </w:r>
    </w:p>
    <w:p>
      <w:pPr>
        <w:pStyle w:val="2"/>
        <w:keepNext w:val="0"/>
        <w:keepLines w:val="0"/>
        <w:pageBreakBefore w:val="0"/>
        <w:kinsoku/>
        <w:wordWrap/>
        <w:overflowPunct/>
        <w:topLinePunct w:val="0"/>
        <w:autoSpaceDE/>
        <w:autoSpaceDN/>
        <w:bidi w:val="0"/>
        <w:snapToGrid/>
        <w:spacing w:after="0" w:line="500" w:lineRule="exact"/>
        <w:textAlignment w:val="auto"/>
        <w:rPr>
          <w:rFonts w:hint="eastAsia" w:ascii="仿宋_GB2312" w:hAnsi="仿宋_GB2312" w:eastAsia="仿宋_GB2312" w:cs="仿宋_GB2312"/>
          <w:b w:val="0"/>
          <w:bCs w:val="0"/>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535353" w:themeColor="text1"/>
          <w:kern w:val="2"/>
          <w:sz w:val="32"/>
          <w:szCs w:val="32"/>
          <w:lang w:val="en-US" w:eastAsia="zh-CN" w:bidi="ar-SA"/>
          <w14:textFill>
            <w14:solidFill>
              <w14:schemeClr w14:val="tx1"/>
            </w14:solidFill>
          </w14:textFill>
        </w:rPr>
        <w:t>联苯菊酯主要用于防治棉铃虫，棉红蜘蛛，桃小食心虫，梨小食心虫，山楂叶螨、柑桔红蜘蛛，黄斑蝽，茶翅蝽，菜蚜，菜青虫</w:t>
      </w:r>
      <w:bookmarkStart w:id="5" w:name="OLE_LINK5"/>
      <w:r>
        <w:rPr>
          <w:rFonts w:hint="eastAsia" w:ascii="仿宋_GB2312" w:hAnsi="仿宋_GB2312" w:eastAsia="仿宋_GB2312" w:cs="仿宋_GB2312"/>
          <w:b w:val="0"/>
          <w:bCs w:val="0"/>
          <w:color w:val="535353" w:themeColor="text1"/>
          <w:kern w:val="2"/>
          <w:sz w:val="32"/>
          <w:szCs w:val="32"/>
          <w:lang w:val="en-US" w:eastAsia="zh-CN" w:bidi="ar-SA"/>
          <w14:textFill>
            <w14:solidFill>
              <w14:schemeClr w14:val="tx1"/>
            </w14:solidFill>
          </w14:textFill>
        </w:rPr>
        <w:t>，小菜蛾，茄子红蜘蛛，茶细蛾等20多种害虫。《食品安全国家标准 食品中农药最大残留限量》（GB 2763-2021）中规定橘子中联苯菊酯最大</w:t>
      </w:r>
      <w:bookmarkEnd w:id="5"/>
      <w:r>
        <w:rPr>
          <w:rFonts w:hint="eastAsia" w:ascii="仿宋_GB2312" w:hAnsi="仿宋_GB2312" w:eastAsia="仿宋_GB2312" w:cs="仿宋_GB2312"/>
          <w:b w:val="0"/>
          <w:bCs w:val="0"/>
          <w:color w:val="535353" w:themeColor="text1"/>
          <w:kern w:val="2"/>
          <w:sz w:val="32"/>
          <w:szCs w:val="32"/>
          <w:lang w:val="en-US" w:eastAsia="zh-CN" w:bidi="ar-SA"/>
          <w14:textFill>
            <w14:solidFill>
              <w14:schemeClr w14:val="tx1"/>
            </w14:solidFill>
          </w14:textFill>
        </w:rPr>
        <w:t>残留量为≤0.05mg/kg。联苯菊酯超标原因可能是果农采收橘子前违规使用相关农药。</w:t>
      </w:r>
    </w:p>
    <w:p>
      <w:pPr>
        <w:keepNext w:val="0"/>
        <w:keepLines w:val="0"/>
        <w:pageBreakBefore w:val="0"/>
        <w:numPr>
          <w:numId w:val="0"/>
        </w:numPr>
        <w:kinsoku/>
        <w:wordWrap/>
        <w:overflowPunct/>
        <w:topLinePunct w:val="0"/>
        <w:autoSpaceDE/>
        <w:autoSpaceDN/>
        <w:bidi w:val="0"/>
        <w:snapToGrid/>
        <w:spacing w:line="500" w:lineRule="exact"/>
        <w:ind w:left="735" w:leftChars="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5.氯氟氰菊酯和高效氯氟氰菊酯</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氯氟氰菊酯又叫三氟氯氰菊酯，中等毒杀虫剂，对眼睛和皮肤有刺激作用。可以有效的防治棉花、果树、蔬菜、大豆等作物上的多种害虫，也能防治动物体上的寄生虫。具有杀虫广谱、高效、速度快、持效期长的特点。</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高效氯氰菊酯是农业杀虫剂，主要防治农作物上发生的鳞翅目害虫，具有杀虫谱广，活性较高，药效迅速，喷洒后耐雨水冲刷，但长期使用易对其产生抗性，对刺吸式口器的害虫及害螨有一定防效，强毒性。</w:t>
      </w:r>
    </w:p>
    <w:p>
      <w:pPr>
        <w:keepNext w:val="0"/>
        <w:keepLines w:val="0"/>
        <w:pageBreakBefore w:val="0"/>
        <w:kinsoku/>
        <w:wordWrap/>
        <w:overflowPunct/>
        <w:topLinePunct w:val="0"/>
        <w:autoSpaceDE/>
        <w:autoSpaceDN/>
        <w:bidi w:val="0"/>
        <w:snapToGrid/>
        <w:spacing w:line="500" w:lineRule="exact"/>
        <w:ind w:firstLine="640" w:firstLineChars="200"/>
        <w:contextualSpacing/>
        <w:textAlignment w:val="auto"/>
        <w:rPr>
          <w:rFonts w:hint="default" w:ascii="仿宋_GB2312" w:hAnsi="仿宋_GB2312" w:eastAsia="仿宋_GB2312" w:cs="仿宋_GB2312"/>
          <w:b w:val="0"/>
          <w:bCs w:val="0"/>
          <w:color w:val="535353"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535353" w:themeColor="text1"/>
          <w:sz w:val="32"/>
          <w:szCs w:val="32"/>
          <w:lang w:val="en-US" w:eastAsia="zh-CN"/>
          <w14:textFill>
            <w14:solidFill>
              <w14:schemeClr w14:val="tx1"/>
            </w14:solidFill>
          </w14:textFill>
        </w:rPr>
        <w:t>根据《食品安全国家标准 食品中农药最大残留限量》(GB 2763-2021)中规定，葱中氯氟氰菊酯和高效氯氰菊酯最大限量为0.2mg/kg。蔬菜中氯氟氰菊酯和高效氯氟氰菊酯的超标主要是在喷洒使用农药配比含量过高、喷洒后雨水淋洗时间短、降解周期未到及采摘周期短造成农药的残留量过高。</w:t>
      </w:r>
    </w:p>
    <w:p>
      <w:pPr>
        <w:pStyle w:val="2"/>
        <w:rPr>
          <w:rFonts w:hint="default" w:eastAsia="仿宋_GB2312"/>
          <w:lang w:val="en-US" w:eastAsia="zh-CN"/>
        </w:rPr>
      </w:pPr>
    </w:p>
    <w:p>
      <w:pPr>
        <w:autoSpaceDE w:val="0"/>
        <w:adjustRightInd w:val="0"/>
        <w:snapToGrid w:val="0"/>
        <w:spacing w:line="594" w:lineRule="exact"/>
        <w:rPr>
          <w:rFonts w:ascii="Times New Roman" w:hAnsi="Times New Roman" w:eastAsia="仿宋_GB2312"/>
          <w:color w:val="535353"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901383"/>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GJiYzZlNzA3NjViNWEzOWNjZWFjYWEzOWNlNmYifQ=="/>
  </w:docVars>
  <w:rsids>
    <w:rsidRoot w:val="00A663B7"/>
    <w:rsid w:val="00016756"/>
    <w:rsid w:val="00041622"/>
    <w:rsid w:val="000645E1"/>
    <w:rsid w:val="000F109C"/>
    <w:rsid w:val="00155C55"/>
    <w:rsid w:val="001D31C1"/>
    <w:rsid w:val="0021610C"/>
    <w:rsid w:val="00233EB3"/>
    <w:rsid w:val="00241307"/>
    <w:rsid w:val="002807A1"/>
    <w:rsid w:val="002A092C"/>
    <w:rsid w:val="002A61B4"/>
    <w:rsid w:val="002C4138"/>
    <w:rsid w:val="00310DD8"/>
    <w:rsid w:val="00344A10"/>
    <w:rsid w:val="003B6A75"/>
    <w:rsid w:val="003D7143"/>
    <w:rsid w:val="004014D9"/>
    <w:rsid w:val="00416AC4"/>
    <w:rsid w:val="0044071E"/>
    <w:rsid w:val="004604E1"/>
    <w:rsid w:val="00474FB4"/>
    <w:rsid w:val="00495202"/>
    <w:rsid w:val="00497D10"/>
    <w:rsid w:val="004B7CBD"/>
    <w:rsid w:val="004D165D"/>
    <w:rsid w:val="00501A15"/>
    <w:rsid w:val="00547CC3"/>
    <w:rsid w:val="00581CA2"/>
    <w:rsid w:val="005955ED"/>
    <w:rsid w:val="00654C6B"/>
    <w:rsid w:val="006F2069"/>
    <w:rsid w:val="00700EA9"/>
    <w:rsid w:val="00710782"/>
    <w:rsid w:val="007443F9"/>
    <w:rsid w:val="007641F8"/>
    <w:rsid w:val="007A2EF2"/>
    <w:rsid w:val="007A347E"/>
    <w:rsid w:val="007B05FC"/>
    <w:rsid w:val="007D296C"/>
    <w:rsid w:val="007D54E3"/>
    <w:rsid w:val="007F3B23"/>
    <w:rsid w:val="008E770D"/>
    <w:rsid w:val="00904C59"/>
    <w:rsid w:val="00906E93"/>
    <w:rsid w:val="00913736"/>
    <w:rsid w:val="009B5EB6"/>
    <w:rsid w:val="009E3E3E"/>
    <w:rsid w:val="00A13DCE"/>
    <w:rsid w:val="00A13E86"/>
    <w:rsid w:val="00A663B7"/>
    <w:rsid w:val="00AB5DA4"/>
    <w:rsid w:val="00AF30AA"/>
    <w:rsid w:val="00B17DCC"/>
    <w:rsid w:val="00B304B9"/>
    <w:rsid w:val="00B519F6"/>
    <w:rsid w:val="00BA2CD0"/>
    <w:rsid w:val="00BD5B62"/>
    <w:rsid w:val="00C17343"/>
    <w:rsid w:val="00C230DD"/>
    <w:rsid w:val="00C23294"/>
    <w:rsid w:val="00CF2E02"/>
    <w:rsid w:val="00D004EC"/>
    <w:rsid w:val="00D44B10"/>
    <w:rsid w:val="00D5205B"/>
    <w:rsid w:val="00DB3877"/>
    <w:rsid w:val="00E05F13"/>
    <w:rsid w:val="00E3441E"/>
    <w:rsid w:val="00E46D3A"/>
    <w:rsid w:val="00E47533"/>
    <w:rsid w:val="00E71EF5"/>
    <w:rsid w:val="00F30536"/>
    <w:rsid w:val="00F666D4"/>
    <w:rsid w:val="00FC091B"/>
    <w:rsid w:val="10AF601F"/>
    <w:rsid w:val="15E8613F"/>
    <w:rsid w:val="27663B84"/>
    <w:rsid w:val="354E77F8"/>
    <w:rsid w:val="3C194E67"/>
    <w:rsid w:val="3C811E34"/>
    <w:rsid w:val="3D305B42"/>
    <w:rsid w:val="475148FB"/>
    <w:rsid w:val="479D32E3"/>
    <w:rsid w:val="505F4DCA"/>
    <w:rsid w:val="56D31378"/>
    <w:rsid w:val="5C0675EB"/>
    <w:rsid w:val="5C39304E"/>
    <w:rsid w:val="632551AD"/>
    <w:rsid w:val="63D152AA"/>
    <w:rsid w:val="6A867861"/>
    <w:rsid w:val="6FE24C44"/>
    <w:rsid w:val="77247E15"/>
    <w:rsid w:val="78A93DE3"/>
    <w:rsid w:val="798D1E36"/>
    <w:rsid w:val="7CDD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缩进 字符"/>
    <w:basedOn w:val="8"/>
    <w:link w:val="3"/>
    <w:semiHidden/>
    <w:qFormat/>
    <w:uiPriority w:val="99"/>
  </w:style>
  <w:style w:type="character" w:customStyle="1" w:styleId="12">
    <w:name w:val="正文文本首行缩进 2 字符"/>
    <w:basedOn w:val="11"/>
    <w:link w:val="2"/>
    <w:qFormat/>
    <w:uiPriority w:val="0"/>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1297</Words>
  <Characters>1384</Characters>
  <Lines>9</Lines>
  <Paragraphs>2</Paragraphs>
  <TotalTime>171</TotalTime>
  <ScaleCrop>false</ScaleCrop>
  <LinksUpToDate>false</LinksUpToDate>
  <CharactersWithSpaces>1396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2021-05-28T06:03:00Z</dcterms:created>
  <dc:creator>秘书处</dc:creator>
  <cp:lastModifiedBy>Administrator</cp:lastModifiedBy>
  <cp:lastPrinted>2024-10-29T06:53:00Z</cp:lastPrinted>
  <dcterms:modified xsi:type="dcterms:W3CDTF">2024-10-29T07:00:27Z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D5DDD093190D4B1E867A800D40B4699B_13</vt:lpwstr>
  </property>
</Properties>
</file>