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ind w:firstLine="0" w:firstLineChars="0"/>
        <w:jc w:val="center"/>
        <w:rPr>
          <w:rFonts w:hint="eastAsia" w:ascii="方正小标宋简体" w:hAnsi="方正小标宋简体" w:eastAsia="方正小标宋简体" w:cs="方正小标宋简体"/>
          <w:b/>
          <w:bCs/>
          <w:sz w:val="48"/>
          <w:szCs w:val="48"/>
        </w:rPr>
      </w:pPr>
      <w:bookmarkStart w:id="0" w:name="_Toc523149496"/>
      <w:bookmarkStart w:id="1" w:name="_Toc16417"/>
      <w:bookmarkStart w:id="2" w:name="_Toc17706"/>
      <w:bookmarkStart w:id="3" w:name="_Toc10420"/>
      <w:bookmarkStart w:id="4" w:name="_Toc535509353"/>
      <w:bookmarkStart w:id="5" w:name="_Toc3336"/>
      <w:bookmarkStart w:id="6" w:name="_Toc2993"/>
      <w:bookmarkStart w:id="7" w:name="_Toc535509345"/>
      <w:bookmarkStart w:id="8" w:name="_Toc6643"/>
      <w:bookmarkStart w:id="9" w:name="_Toc523149488"/>
      <w:bookmarkStart w:id="10" w:name="_Toc440446005"/>
      <w:bookmarkStart w:id="11" w:name="_Toc470854849"/>
      <w:bookmarkStart w:id="12" w:name="_Toc28321"/>
      <w:bookmarkStart w:id="13" w:name="_Toc446667207"/>
      <w:bookmarkStart w:id="14" w:name="_Toc7733"/>
      <w:bookmarkStart w:id="15" w:name="_Toc44085476"/>
      <w:bookmarkStart w:id="16" w:name="_Toc44085486"/>
    </w:p>
    <w:p>
      <w:pPr>
        <w:snapToGrid w:val="0"/>
        <w:spacing w:line="800" w:lineRule="exact"/>
        <w:ind w:firstLine="0" w:firstLineChars="0"/>
        <w:jc w:val="center"/>
        <w:rPr>
          <w:rFonts w:hint="eastAsia" w:ascii="方正小标宋简体" w:hAnsi="方正小标宋简体" w:eastAsia="方正小标宋简体" w:cs="方正小标宋简体"/>
          <w:b/>
          <w:bCs/>
          <w:sz w:val="48"/>
          <w:szCs w:val="48"/>
        </w:rPr>
      </w:pPr>
    </w:p>
    <w:p>
      <w:pPr>
        <w:snapToGrid w:val="0"/>
        <w:spacing w:line="800" w:lineRule="exact"/>
        <w:ind w:firstLine="0" w:firstLineChars="0"/>
        <w:jc w:val="center"/>
        <w:rPr>
          <w:rFonts w:ascii="方正小标宋简体" w:hAnsi="方正小标宋简体" w:eastAsia="方正小标宋简体" w:cs="方正小标宋简体"/>
          <w:b/>
          <w:bCs/>
          <w:sz w:val="48"/>
          <w:szCs w:val="48"/>
        </w:rPr>
      </w:pPr>
      <w:bookmarkStart w:id="361" w:name="_GoBack"/>
      <w:r>
        <w:rPr>
          <w:rFonts w:hint="eastAsia" w:ascii="方正小标宋简体" w:hAnsi="方正小标宋简体" w:eastAsia="方正小标宋简体" w:cs="方正小标宋简体"/>
          <w:b/>
          <w:bCs/>
          <w:sz w:val="48"/>
          <w:szCs w:val="48"/>
        </w:rPr>
        <w:t>习水县国民经济和社会发展第十四个五年</w:t>
      </w:r>
    </w:p>
    <w:p>
      <w:pPr>
        <w:snapToGrid w:val="0"/>
        <w:spacing w:line="800" w:lineRule="exact"/>
        <w:ind w:firstLine="0" w:firstLineChars="0"/>
        <w:jc w:val="center"/>
        <w:rPr>
          <w:rFonts w:hint="eastAsia" w:ascii="方正小标宋简体" w:hAnsi="方正小标宋简体" w:eastAsia="方正小标宋简体" w:cs="方正小标宋简体"/>
          <w:b/>
          <w:bCs/>
          <w:sz w:val="48"/>
          <w:szCs w:val="48"/>
          <w:lang w:eastAsia="zh-CN"/>
        </w:rPr>
      </w:pPr>
      <w:r>
        <w:rPr>
          <w:rFonts w:hint="eastAsia" w:ascii="方正小标宋简体" w:hAnsi="方正小标宋简体" w:eastAsia="方正小标宋简体" w:cs="方正小标宋简体"/>
          <w:b/>
          <w:bCs/>
          <w:sz w:val="48"/>
          <w:szCs w:val="48"/>
        </w:rPr>
        <w:t>规划纲要</w:t>
      </w:r>
    </w:p>
    <w:bookmarkEnd w:id="361"/>
    <w:p>
      <w:pPr>
        <w:pStyle w:val="2"/>
        <w:rPr>
          <w:rFonts w:hint="eastAsia"/>
          <w:lang w:eastAsia="zh-CN"/>
        </w:rPr>
      </w:pPr>
    </w:p>
    <w:p>
      <w:pPr>
        <w:pStyle w:val="9"/>
        <w:spacing w:before="156" w:after="156"/>
        <w:ind w:firstLine="640"/>
        <w:rPr>
          <w:sz w:val="32"/>
          <w:szCs w:val="32"/>
        </w:rPr>
      </w:pPr>
    </w:p>
    <w:p>
      <w:pPr>
        <w:pStyle w:val="9"/>
        <w:spacing w:before="156" w:after="156"/>
        <w:ind w:firstLine="640"/>
        <w:rPr>
          <w:sz w:val="32"/>
          <w:szCs w:val="32"/>
        </w:rPr>
      </w:pPr>
    </w:p>
    <w:p>
      <w:pPr>
        <w:pStyle w:val="9"/>
        <w:spacing w:before="156" w:after="156"/>
        <w:ind w:firstLine="640"/>
        <w:rPr>
          <w:sz w:val="32"/>
          <w:szCs w:val="32"/>
        </w:rPr>
      </w:pPr>
    </w:p>
    <w:p>
      <w:pPr>
        <w:pStyle w:val="9"/>
        <w:spacing w:before="156" w:after="156"/>
        <w:ind w:firstLine="640"/>
        <w:rPr>
          <w:sz w:val="32"/>
          <w:szCs w:val="32"/>
        </w:rPr>
      </w:pPr>
    </w:p>
    <w:p>
      <w:pPr>
        <w:spacing w:before="156" w:after="156"/>
        <w:ind w:firstLine="560"/>
      </w:pPr>
    </w:p>
    <w:p>
      <w:pPr>
        <w:pStyle w:val="9"/>
        <w:spacing w:before="156" w:after="156"/>
        <w:ind w:firstLine="640"/>
        <w:rPr>
          <w:sz w:val="32"/>
          <w:szCs w:val="32"/>
        </w:rPr>
      </w:pPr>
    </w:p>
    <w:p>
      <w:pPr>
        <w:pStyle w:val="18"/>
        <w:spacing w:before="156" w:after="156"/>
        <w:ind w:left="0" w:leftChars="0" w:firstLine="0" w:firstLineChars="0"/>
      </w:pPr>
    </w:p>
    <w:p>
      <w:pPr>
        <w:pStyle w:val="18"/>
        <w:spacing w:before="156" w:after="156"/>
        <w:ind w:left="0" w:leftChars="0" w:firstLine="0" w:firstLineChars="0"/>
        <w:jc w:val="center"/>
        <w:rPr>
          <w:rFonts w:hint="eastAsia" w:ascii="黑体" w:hAnsi="黑体" w:eastAsia="黑体" w:cs="黑体"/>
          <w:bCs/>
          <w:spacing w:val="28"/>
          <w:sz w:val="36"/>
          <w:szCs w:val="36"/>
        </w:rPr>
      </w:pPr>
    </w:p>
    <w:p>
      <w:pPr>
        <w:pStyle w:val="18"/>
        <w:spacing w:before="156" w:after="156"/>
        <w:ind w:left="0" w:leftChars="0" w:firstLine="0" w:firstLineChars="0"/>
        <w:jc w:val="center"/>
        <w:rPr>
          <w:rFonts w:hint="eastAsia" w:ascii="黑体" w:hAnsi="黑体" w:eastAsia="黑体" w:cs="黑体"/>
          <w:bCs/>
          <w:spacing w:val="28"/>
          <w:sz w:val="36"/>
          <w:szCs w:val="36"/>
        </w:rPr>
      </w:pPr>
    </w:p>
    <w:p>
      <w:pPr>
        <w:pStyle w:val="18"/>
        <w:spacing w:before="156" w:after="156"/>
        <w:ind w:left="0" w:leftChars="0" w:firstLine="0" w:firstLineChars="0"/>
        <w:jc w:val="center"/>
        <w:rPr>
          <w:rFonts w:hint="eastAsia" w:ascii="黑体" w:hAnsi="黑体" w:eastAsia="黑体" w:cs="黑体"/>
          <w:bCs/>
          <w:spacing w:val="28"/>
          <w:sz w:val="36"/>
          <w:szCs w:val="36"/>
        </w:rPr>
      </w:pPr>
    </w:p>
    <w:p>
      <w:pPr>
        <w:pStyle w:val="18"/>
        <w:spacing w:before="156" w:after="156"/>
        <w:ind w:left="0" w:leftChars="0" w:firstLine="0" w:firstLineChars="0"/>
        <w:jc w:val="center"/>
        <w:rPr>
          <w:rFonts w:ascii="黑体" w:hAnsi="黑体" w:eastAsia="黑体" w:cs="黑体"/>
          <w:bCs/>
          <w:spacing w:val="28"/>
          <w:sz w:val="36"/>
          <w:szCs w:val="36"/>
        </w:rPr>
      </w:pPr>
      <w:r>
        <w:rPr>
          <w:rFonts w:hint="eastAsia" w:ascii="黑体" w:hAnsi="黑体" w:eastAsia="黑体" w:cs="黑体"/>
          <w:bCs/>
          <w:spacing w:val="28"/>
          <w:sz w:val="36"/>
          <w:szCs w:val="36"/>
        </w:rPr>
        <w:t>习水县</w:t>
      </w:r>
      <w:r>
        <w:rPr>
          <w:rFonts w:ascii="黑体" w:hAnsi="黑体" w:eastAsia="黑体" w:cs="黑体"/>
          <w:bCs/>
          <w:spacing w:val="28"/>
          <w:sz w:val="36"/>
          <w:szCs w:val="36"/>
        </w:rPr>
        <w:t>人民政府</w:t>
      </w:r>
    </w:p>
    <w:p>
      <w:pPr>
        <w:ind w:firstLine="0" w:firstLineChars="0"/>
        <w:jc w:val="center"/>
        <w:rPr>
          <w:rFonts w:ascii="黑体" w:hAnsi="黑体" w:eastAsia="黑体" w:cs="黑体"/>
          <w:bCs/>
          <w:sz w:val="32"/>
          <w:szCs w:val="32"/>
        </w:rPr>
      </w:pPr>
      <w:r>
        <w:rPr>
          <w:rFonts w:hint="eastAsia" w:ascii="黑体" w:hAnsi="黑体" w:eastAsia="黑体" w:cs="黑体"/>
          <w:bCs/>
          <w:sz w:val="36"/>
          <w:szCs w:val="36"/>
          <w:lang w:val="en-US" w:eastAsia="zh-CN"/>
        </w:rPr>
        <w:t xml:space="preserve">             </w:t>
      </w:r>
      <w:r>
        <w:rPr>
          <w:rFonts w:ascii="黑体" w:hAnsi="黑体" w:eastAsia="黑体" w:cs="黑体"/>
          <w:bCs/>
          <w:sz w:val="32"/>
          <w:szCs w:val="32"/>
        </w:rPr>
        <w:br w:type="page"/>
      </w:r>
    </w:p>
    <w:p>
      <w:pPr>
        <w:pStyle w:val="18"/>
        <w:spacing w:before="156" w:after="156"/>
        <w:ind w:left="0" w:firstLine="0" w:firstLineChars="0"/>
        <w:jc w:val="center"/>
        <w:rPr>
          <w:rFonts w:ascii="黑体" w:hAnsi="黑体" w:eastAsia="黑体" w:cs="黑体"/>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pgNumType w:start="1"/>
          <w:cols w:space="0" w:num="1"/>
          <w:docGrid w:type="lines" w:linePitch="312" w:charSpace="0"/>
        </w:sectPr>
      </w:pPr>
    </w:p>
    <w:p>
      <w:pPr>
        <w:pStyle w:val="11"/>
        <w:tabs>
          <w:tab w:val="right" w:leader="dot" w:pos="8306"/>
        </w:tabs>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目 录</w:t>
      </w:r>
    </w:p>
    <w:p>
      <w:pPr>
        <w:pStyle w:val="11"/>
        <w:tabs>
          <w:tab w:val="right" w:leader="dot" w:pos="8306"/>
        </w:tabs>
        <w:ind w:firstLine="560"/>
      </w:pP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"1-2" \h \u </w:instrText>
      </w:r>
      <w:r>
        <w:rPr>
          <w:rFonts w:hint="eastAsia" w:ascii="仿宋_GB2312" w:hAnsi="仿宋_GB2312" w:eastAsia="仿宋_GB2312" w:cs="仿宋_GB2312"/>
        </w:rPr>
        <w:fldChar w:fldCharType="separate"/>
      </w: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_Toc2404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序  言</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_Toc22254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bCs/>
          <w:szCs w:val="32"/>
        </w:rPr>
        <w:t>第一章    总结“十三五”，把握习水新起点</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_Toc22254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_Toc16399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发展成就</w:t>
      </w:r>
      <w: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_Toc16399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_Toc32029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存在问题</w:t>
      </w:r>
      <w: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_Toc32029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_Toc21393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第二章    明晰新形势，洞悉发展新环境</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_Toc21393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_Toc655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面临挑战</w:t>
      </w:r>
      <w: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_Toc655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_Toc3322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发展机遇</w:t>
      </w:r>
      <w: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_Toc3322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_Toc23607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第三章    谋划“十四五”，描绘习水新蓝图</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_Toc23607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_Toc17650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指导思想</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_Toc17650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_Toc24989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基本原则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_Toc24989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_Toc14451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战略定位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_Toc14451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_Toc22812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发展目标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_Toc22812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_Toc17554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第五节   2035年远景目标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_Toc17554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_Toc8973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第四章   推动新型工业化，大力提升“实力习水”</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_Toc8973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_Toc18802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做大做强白酒主业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_Toc18802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_Toc25461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延伸发展包装印刷</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_Toc25461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_Toc13768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加快发展煤电建材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_Toc13768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_Toc17897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积极培育食品工业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_Toc17897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_Toc1958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第五章    推进农业现代化，着力优化“田园习水”</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_Toc1958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29</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_Toc5572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谋划乡村振兴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_Toc5572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_Toc13404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推进农业现代化建设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_Toc13404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_Toc29928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助力农民增收致富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_Toc29928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_Toc14520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打造生态宜居新示范</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_Toc3483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第五节   构建乡风文明新社会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_Toc3483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_Toc23531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第六节   建设治理有效新农村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_Toc23531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_Toc16450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第七节   积极巩固脱贫成果</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_Toc16450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_Toc17108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第六章    推进新型城镇化，着力打造“旅居习水”</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_Toc17108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39</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_Toc5132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优化城镇规划体系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_Toc5132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_Toc7821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提升中心城区品质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_Toc7821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_Toc10690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加强小城镇建设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_Toc10690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_Toc22630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构建宜养旅游体系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_Toc22630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_Toc10848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第五节   构建生态保护体系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_Toc10848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_Toc28340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第七章    坚持特色引领，着力发展现代服务业</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_Toc28340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50</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_Toc14109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优化提升商贸服务业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_Toc14109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_Toc4385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积极发展现代物流业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_Toc4385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_Toc20235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着力发展其他服务业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_Toc20235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_Toc16472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第八章    坚持智能高效，着力打造“智慧习水”</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_Toc16472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53</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_Toc32386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促进大数据+工业深度融合</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_Toc32386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_Toc5190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积极发展制造新模式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_Toc5190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_Toc3808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推进习水智慧城市建设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_Toc3808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_Toc9553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第九章    深化建设“文明习水”，不断提升对外形象</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_Toc9553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56</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_Toc24946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广泛传承红色基因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_Toc24946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_Toc14371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提高社会文明程度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_Toc14371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_Toc13954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繁荣文化事业和文化产业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_Toc13954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_Toc2308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第十章    深化建设“开放习水”，全面融入成渝经济圈</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_Toc2308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58</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_Toc27090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坚持扩大对外开放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_Toc27090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_Toc15066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大力提升招商引资质量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_Toc15066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_Toc14363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发展高水平开放型经济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_Toc14363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_Toc20289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第十一章   积极增进民生福祉，着力建设“幸福习水”</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_Toc20289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60</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_Toc32063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积极推动创业就业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_Toc32063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_Toc30819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全面推进教育发展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_Toc30819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_Toc6480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提高全民健康质量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_Toc6480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_Toc23148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大力完善社会保障</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_Toc23148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_Toc23201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第五节   提高全民收入水平</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_Toc23201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_Toc16852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第六节   促进人口均衡发展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_Toc16852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_Toc32116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第七节   加强安全能力建设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_Toc32116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_Toc15579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第八节   维护社会安全稳定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_Toc15579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_Toc5635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第十二章    积极推动人才兴政，着力打造人才高地</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_Toc5635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73</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_Toc14816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重视白酒企业人才培养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_Toc14816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_Toc8187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加强旅游和农业人才育引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_Toc8187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_Toc6528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强化高级人才引进</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_Toc6528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_Toc1698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第十三章   积极优化营商环境，服务习水高质量发展</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_Toc1698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74</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_Toc23198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优化发展软环境</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_Toc23198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_Toc21298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创新外商投资管理体制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_Toc21298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_Toc30664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服务民营经济发展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_Toc30664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_Toc23363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营造良好消费环境</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_Toc23363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_Toc2188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第十四章    加强基础设施建设，着力夯实发展支撑</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76</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_Toc22318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推进交通运输工程建设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_Toc22318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_Toc3778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完善水电气基础设施</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_Toc3778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_Toc18634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加快推进地下管网建设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_Toc18634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_Toc22228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加快信息网络基础设施建设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_Toc22228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_Toc7426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第十五章   坚持改革创新，着力增强发展新优势</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_Toc7426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81</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_Toc19332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加强关键领域改革</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_Toc19332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_Toc1801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推进行政效能改革</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_Toc1801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_Toc24782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推进新要素市场改革</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_Toc24782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_Toc18998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深化农村综合改革</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_Toc18998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_Toc5835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第五节   全面强化科技创新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_Toc5835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_Toc4054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第六节   增强企业创新能力</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_Toc4054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_Toc23749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第七节   完善科技创新体制机制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_Toc23749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 HYPERLINK \l _Toc4212 </w:instrText>
      </w:r>
      <w:r>
        <w:rPr>
          <w:rFonts w:hint="eastAsia" w:ascii="方正黑体简体" w:hAnsi="方正黑体简体" w:eastAsia="方正黑体简体" w:cs="方正黑体简体"/>
        </w:rPr>
        <w:fldChar w:fldCharType="separate"/>
      </w:r>
      <w:r>
        <w:rPr>
          <w:rFonts w:hint="eastAsia" w:ascii="方正黑体简体" w:hAnsi="方正黑体简体" w:eastAsia="方正黑体简体" w:cs="方正黑体简体"/>
        </w:rPr>
        <w:t>第十六章   坚持党的领导，促进规划科学实施</w:t>
      </w:r>
      <w:r>
        <w:rPr>
          <w:rFonts w:hint="eastAsia" w:ascii="方正黑体简体" w:hAnsi="方正黑体简体" w:eastAsia="方正黑体简体" w:cs="方正黑体简体"/>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_Toc4212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88</w:t>
      </w:r>
      <w:r>
        <w:rPr>
          <w:rFonts w:hint="eastAsia" w:ascii="仿宋_GB2312" w:hAnsi="仿宋_GB2312" w:eastAsia="仿宋_GB2312" w:cs="仿宋_GB2312"/>
        </w:rPr>
        <w:fldChar w:fldCharType="end"/>
      </w:r>
      <w:r>
        <w:rPr>
          <w:rFonts w:hint="eastAsia" w:ascii="方正黑体简体" w:hAnsi="方正黑体简体" w:eastAsia="方正黑体简体" w:cs="方正黑体简体"/>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_Toc7649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第一节   全面加强党的领导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_Toc7649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_Toc21600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第二节   坚持从严治党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_Toc21600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_Toc19454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第三节   加强党的基层组织建设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_Toc19454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_Toc11651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第四节   扎实推进社会主义政治建设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_Toc11651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_Toc8900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第五节   坚持从严治吏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_Toc8900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2"/>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_Toc23747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rPr>
        <w:t>第六节   科学实施规划</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_Toc23747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ageBreakBefore w:val="0"/>
        <w:widowControl w:val="0"/>
        <w:kinsoku/>
        <w:wordWrap/>
        <w:overflowPunct/>
        <w:topLinePunct w:val="0"/>
        <w:autoSpaceDE/>
        <w:autoSpaceDN/>
        <w:bidi w:val="0"/>
        <w:adjustRightInd/>
        <w:snapToGrid/>
        <w:ind w:firstLine="0" w:firstLineChars="0"/>
        <w:textAlignment w:val="auto"/>
        <w:rPr>
          <w:rFonts w:ascii="仿宋_GB2312" w:hAnsi="仿宋_GB2312" w:eastAsia="仿宋_GB2312" w:cs="仿宋_GB2312"/>
        </w:rPr>
      </w:pPr>
      <w:r>
        <w:rPr>
          <w:rFonts w:hint="eastAsia" w:ascii="仿宋_GB2312" w:hAnsi="仿宋_GB2312" w:eastAsia="仿宋_GB2312" w:cs="仿宋_GB2312"/>
        </w:rPr>
        <w:fldChar w:fldCharType="end"/>
      </w:r>
    </w:p>
    <w:p>
      <w:pPr>
        <w:pStyle w:val="4"/>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eastAsia="仿宋_GB2312" w:cs="仿宋_GB2312"/>
          <w:sz w:val="28"/>
          <w:szCs w:val="28"/>
        </w:rPr>
        <w:sectPr>
          <w:footerReference r:id="rId9" w:type="default"/>
          <w:pgSz w:w="11906" w:h="16838"/>
          <w:pgMar w:top="1440" w:right="1800" w:bottom="1440" w:left="1800" w:header="851" w:footer="992" w:gutter="0"/>
          <w:pgNumType w:start="1"/>
          <w:cols w:space="425" w:num="1"/>
          <w:docGrid w:type="lines" w:linePitch="312" w:charSpace="0"/>
        </w:sectPr>
      </w:pPr>
      <w:bookmarkStart w:id="17" w:name="_Toc8883"/>
      <w:bookmarkStart w:id="18" w:name="_Toc18807"/>
    </w:p>
    <w:p>
      <w:pPr>
        <w:pStyle w:val="4"/>
        <w:jc w:val="center"/>
        <w:rPr>
          <w:rFonts w:ascii="方正小标宋简体" w:hAnsi="方正小标宋简体" w:eastAsia="方正小标宋简体" w:cs="方正小标宋简体"/>
        </w:rPr>
      </w:pPr>
      <w:bookmarkStart w:id="19" w:name="_Toc2404"/>
      <w:r>
        <w:rPr>
          <w:rFonts w:hint="eastAsia" w:ascii="方正小标宋简体" w:hAnsi="方正小标宋简体" w:eastAsia="方正小标宋简体" w:cs="方正小标宋简体"/>
        </w:rPr>
        <w:t>序  言</w:t>
      </w:r>
      <w:bookmarkEnd w:id="17"/>
      <w:bookmarkEnd w:id="18"/>
      <w:bookmarkEnd w:id="19"/>
    </w:p>
    <w:p>
      <w:pPr>
        <w:spacing w:line="5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十三五”时期，我县在省委省政府、遵义市委市政府的正确领导下，立足资源禀赋，发挥比较优势，坚持以脱贫攻坚统揽经济社会发展全局，大力实施“酒旅并举·富民强县”发展战略，全面推进“七个习水”建设，统筹推进稳增长、促改革、调结构、惠民生、防风险、保稳定等各项工作，圆满完成“十三五”确定的各项任务，顺利实现“两全一强”目标。五年来，先后获得国家农产品质量安全县、国家中医药先进县、全国粮食生产先进县、全国生猪调出大县、全国油厚朴之乡、“四好农村路”全国示范县、全国法治宣传教育先进县、第四批国家生态文明建设示范县等多项“国字头”荣誉，全县经济社会发展取得历史性成就，为顺利开启全面建设社会主义现代化</w:t>
      </w:r>
      <w:r>
        <w:rPr>
          <w:rFonts w:hint="eastAsia" w:ascii="仿宋_GB2312" w:hAnsi="仿宋_GB2312" w:eastAsia="仿宋_GB2312" w:cs="仿宋_GB2312"/>
          <w:sz w:val="28"/>
          <w:szCs w:val="28"/>
          <w:lang w:eastAsia="zh-CN"/>
        </w:rPr>
        <w:t>国家</w:t>
      </w:r>
      <w:r>
        <w:rPr>
          <w:rFonts w:hint="eastAsia" w:ascii="仿宋_GB2312" w:hAnsi="仿宋_GB2312" w:eastAsia="仿宋_GB2312" w:cs="仿宋_GB2312"/>
          <w:sz w:val="28"/>
          <w:szCs w:val="28"/>
        </w:rPr>
        <w:t>新征程奠定了坚实基础。</w:t>
      </w:r>
    </w:p>
    <w:p>
      <w:pPr>
        <w:spacing w:line="5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十四五”时期是我国实现“两个一百年”奋斗目标的重要历史时期。客观分析习水县“十四五”时期将面临的新机遇、新挑战，精准研判我县经济社会所处的发展阶段，围绕党中央、贵州省、遵义市的中心工作，坚持新发展理念，立足全县实际，科学制定《习水县国民经济和社会发展第十四个五年规划纲要》，对于促进习水经济转型发展、实现富民强县意义重大。</w:t>
      </w:r>
    </w:p>
    <w:p>
      <w:pPr>
        <w:spacing w:line="5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规划依据《中共习水县委关于制定国民经济和社会发展第十四个五年规划的建议》编制，主要明确我县未来五年经济社会发展的指导思想、发展目标、主要任务和重大举措，是编制其他各类专项规划和制定年度工作计划的重要依据。规划期为2021-2025年。</w:t>
      </w:r>
    </w:p>
    <w:p>
      <w:pPr>
        <w:ind w:firstLine="640"/>
        <w:rPr>
          <w:rFonts w:ascii="仿宋_GB2312" w:hAnsi="仿宋_GB2312" w:eastAsia="仿宋_GB2312" w:cs="仿宋_GB2312"/>
          <w:sz w:val="28"/>
          <w:szCs w:val="28"/>
        </w:rPr>
      </w:pPr>
      <w:bookmarkStart w:id="20" w:name="_Toc25589"/>
      <w:r>
        <w:rPr>
          <w:rFonts w:hint="eastAsia" w:ascii="仿宋_GB2312" w:hAnsi="仿宋_GB2312" w:eastAsia="仿宋_GB2312" w:cs="仿宋_GB2312"/>
          <w:sz w:val="28"/>
          <w:szCs w:val="28"/>
        </w:rPr>
        <w:br w:type="page"/>
      </w: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21" w:name="_Toc14947"/>
      <w:bookmarkStart w:id="22" w:name="_Toc22254"/>
      <w:r>
        <w:rPr>
          <w:rFonts w:hint="eastAsia" w:ascii="方正小标宋简体" w:hAnsi="方正小标宋简体" w:eastAsia="方正小标宋简体" w:cs="方正小标宋简体"/>
          <w:b w:val="0"/>
          <w:bCs/>
          <w:sz w:val="32"/>
          <w:szCs w:val="32"/>
        </w:rPr>
        <w:t>第一章    总结“十三五”，把握习水新起点</w:t>
      </w:r>
      <w:bookmarkEnd w:id="20"/>
      <w:bookmarkEnd w:id="21"/>
      <w:bookmarkEnd w:id="22"/>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全面总结我县“十三五”规划的执行情况，深入分析取得的发展成就和存在的问题，是科学编制“十四五”规划纲要的基本前提和重要基础。</w:t>
      </w:r>
    </w:p>
    <w:p>
      <w:pPr>
        <w:pStyle w:val="5"/>
        <w:ind w:firstLine="0" w:firstLineChars="0"/>
        <w:jc w:val="center"/>
        <w:rPr>
          <w:rFonts w:ascii="仿宋_GB2312" w:hAnsi="仿宋_GB2312" w:eastAsia="仿宋_GB2312" w:cs="仿宋_GB2312"/>
          <w:b/>
          <w:bCs/>
          <w:sz w:val="32"/>
          <w:szCs w:val="32"/>
        </w:rPr>
      </w:pPr>
      <w:bookmarkStart w:id="23" w:name="_Toc16399"/>
      <w:bookmarkStart w:id="24" w:name="_Toc23371"/>
      <w:bookmarkStart w:id="25" w:name="_Toc5941"/>
      <w:r>
        <w:rPr>
          <w:rFonts w:hint="eastAsia" w:ascii="仿宋_GB2312" w:hAnsi="仿宋_GB2312" w:eastAsia="仿宋_GB2312" w:cs="仿宋_GB2312"/>
          <w:b/>
          <w:bCs/>
          <w:sz w:val="32"/>
          <w:szCs w:val="32"/>
        </w:rPr>
        <w:t>第一节   发展成就</w:t>
      </w:r>
      <w:bookmarkEnd w:id="23"/>
      <w:bookmarkEnd w:id="24"/>
      <w:bookmarkEnd w:id="25"/>
    </w:p>
    <w:bookmarkEnd w:id="0"/>
    <w:bookmarkEnd w:id="1"/>
    <w:bookmarkEnd w:id="2"/>
    <w:bookmarkEnd w:id="3"/>
    <w:bookmarkEnd w:id="4"/>
    <w:p>
      <w:pPr>
        <w:ind w:firstLine="562"/>
        <w:rPr>
          <w:rFonts w:ascii="仿宋_GB2312" w:hAnsi="仿宋_GB2312" w:eastAsia="仿宋_GB2312" w:cs="仿宋_GB2312"/>
        </w:rPr>
      </w:pPr>
      <w:r>
        <w:rPr>
          <w:rFonts w:hint="eastAsia" w:ascii="仿宋_GB2312" w:hAnsi="仿宋_GB2312" w:eastAsia="仿宋_GB2312" w:cs="仿宋_GB2312"/>
          <w:b/>
          <w:bCs/>
        </w:rPr>
        <w:t>三大攻坚战全线告捷。</w:t>
      </w:r>
      <w:bookmarkStart w:id="26" w:name="_Toc6815"/>
      <w:r>
        <w:rPr>
          <w:rFonts w:hint="eastAsia" w:ascii="仿宋_GB2312" w:hAnsi="仿宋_GB2312" w:eastAsia="仿宋_GB2312" w:cs="仿宋_GB2312"/>
        </w:rPr>
        <w:t>“十三五”期间，我县按照省委提出的“五步工作法”，深入谋划，周密部署，防范化解重大风险、精准脱贫、污染防治三大攻坚战取得初步成效。坚持脱贫至上、统揽全局，围绕“一达标、两不愁、三保障”，“八个不能退”的总体要求，紧盯“2239”考核评估指标，创新实施“十面合围治十穷”，全力打好“四场硬仗”。扎实开展脱贫攻坚“春季攻势”和“夏秋决战”，率先打赢脱贫攻坚战。全县累计减少贫困人口344</w:t>
      </w:r>
      <w:r>
        <w:rPr>
          <w:rFonts w:hint="eastAsia" w:ascii="仿宋_GB2312" w:hAnsi="仿宋_GB2312" w:eastAsia="仿宋_GB2312" w:cs="仿宋_GB2312"/>
          <w:lang w:val="en-US" w:eastAsia="zh-CN"/>
        </w:rPr>
        <w:t>4</w:t>
      </w:r>
      <w:r>
        <w:rPr>
          <w:rFonts w:hint="eastAsia" w:ascii="仿宋_GB2312" w:hAnsi="仿宋_GB2312" w:eastAsia="仿宋_GB2312" w:cs="仿宋_GB2312"/>
        </w:rPr>
        <w:t>0户147297人，18个贫困乡镇、127个贫困村全部出列，贫困发生率下降到0%，顺利通过国家第三方评估验收，成功摘掉贫困县“帽子”。建档立卡人口人均纯收入由2014年2013元增长到2020年8710元，初步构建起稳定脱贫长效机制。大力实施“治污治水·洁净家园”五年攻坚行动，实现24个乡镇（街道）集镇污水处理全覆盖、城乡生活垃圾处理全覆盖、医疗废物处理全覆盖、重点企业污染治理全覆盖。全面实施“河长制”，将赤水河流域（习水段）环境质量纳入年度考核。全面完成县城集中式饮用水源地综合治理工作。荣获第四批国家生态文明县称号。按照“八个一批”深化“14项化债措施”，压实债务主体责任，强化专班调度，规范举债行为，优化债务结构，控增量、化存量，将区域性、系统性债务风险和金融风险控制在适度范围以内。</w:t>
      </w:r>
    </w:p>
    <w:bookmarkEnd w:id="26"/>
    <w:p>
      <w:pPr>
        <w:ind w:firstLine="562"/>
        <w:rPr>
          <w:rFonts w:ascii="仿宋_GB2312" w:hAnsi="仿宋_GB2312" w:eastAsia="仿宋_GB2312" w:cs="仿宋_GB2312"/>
        </w:rPr>
      </w:pPr>
      <w:r>
        <w:rPr>
          <w:rFonts w:hint="eastAsia" w:ascii="仿宋_GB2312" w:hAnsi="仿宋_GB2312" w:eastAsia="仿宋_GB2312" w:cs="仿宋_GB2312"/>
          <w:b/>
          <w:bCs/>
        </w:rPr>
        <w:t>“实力习水”</w:t>
      </w:r>
      <w:bookmarkEnd w:id="5"/>
      <w:bookmarkEnd w:id="6"/>
      <w:bookmarkEnd w:id="7"/>
      <w:bookmarkEnd w:id="8"/>
      <w:bookmarkEnd w:id="9"/>
      <w:r>
        <w:rPr>
          <w:rFonts w:hint="eastAsia" w:ascii="仿宋_GB2312" w:hAnsi="仿宋_GB2312" w:eastAsia="仿宋_GB2312" w:cs="仿宋_GB2312"/>
          <w:b/>
          <w:bCs/>
        </w:rPr>
        <w:t>再铸辉煌。</w:t>
      </w:r>
      <w:r>
        <w:rPr>
          <w:rFonts w:hint="eastAsia" w:ascii="仿宋_GB2312" w:hAnsi="仿宋_GB2312" w:eastAsia="仿宋_GB2312" w:cs="仿宋_GB2312"/>
        </w:rPr>
        <w:t>2020年成功跻身中国西部百强县，地区生产总值将突破两百亿大关、预计达到204</w:t>
      </w:r>
      <w:r>
        <w:rPr>
          <w:rFonts w:hint="eastAsia" w:ascii="仿宋_GB2312" w:hAnsi="仿宋_GB2312" w:eastAsia="仿宋_GB2312" w:cs="仿宋_GB2312"/>
          <w:lang w:val="en-US" w:eastAsia="zh-CN"/>
        </w:rPr>
        <w:t>.5</w:t>
      </w:r>
      <w:r>
        <w:rPr>
          <w:rFonts w:hint="eastAsia" w:ascii="仿宋_GB2312" w:hAnsi="仿宋_GB2312" w:eastAsia="仿宋_GB2312" w:cs="仿宋_GB2312"/>
        </w:rPr>
        <w:t>亿元，经济总量成功挤入全市第一方阵。</w:t>
      </w:r>
      <w:r>
        <w:rPr>
          <w:rFonts w:hint="eastAsia" w:ascii="仿宋_GB2312" w:hAnsi="仿宋_GB2312" w:eastAsia="仿宋_GB2312" w:cs="仿宋_GB2312"/>
          <w:bCs/>
        </w:rPr>
        <w:t>“十三五”期间，</w:t>
      </w:r>
      <w:r>
        <w:rPr>
          <w:rFonts w:hint="eastAsia" w:ascii="仿宋_GB2312" w:hAnsi="仿宋_GB2312" w:eastAsia="仿宋_GB2312" w:cs="仿宋_GB2312"/>
        </w:rPr>
        <w:t>实现工业总产值144.68亿元，增加值</w:t>
      </w:r>
      <w:r>
        <w:rPr>
          <w:rFonts w:hint="eastAsia" w:ascii="仿宋_GB2312" w:hAnsi="仿宋_GB2312" w:eastAsia="仿宋_GB2312" w:cs="仿宋_GB2312"/>
          <w:lang w:val="en-US" w:eastAsia="zh-CN"/>
        </w:rPr>
        <w:t>140.8</w:t>
      </w:r>
      <w:r>
        <w:rPr>
          <w:rFonts w:hint="eastAsia" w:ascii="仿宋_GB2312" w:hAnsi="仿宋_GB2312" w:eastAsia="仿宋_GB2312" w:cs="仿宋_GB2312"/>
        </w:rPr>
        <w:t>亿元，分别比“十二五”末期增长38%和67%。习酒实现从区域性品牌向全国性品牌转变。实施煤电联动，二郎电厂一期建成投用，煤炭产业通过兼并重组实现产能优化。战略性新兴产业发展加快，建材产业实现优化升级。贵州习水经济开发区和习水县农特产品工业园区加快建设，中国习酒城配套设施建设项目（一期）有序推进。现代服务业蓬勃发展。突出特色文化，形成“绿洲红城·鰼国故里”文化品牌。繁荣城乡文化，完成县融媒体中心建设工作。积极申报省级习酒酿造技艺、国家级温水小手拳非物质文化遗产。建成习水县全域旅游智慧指挥中心，东风湖国家湿地公园、土城游客接待中心、土城水上乐园、鰼部森林度假观光小火车等一批重点旅游项目，鰼国文化产业园开工建设。电商产业快速发展，交通运输、批发零售、住宿餐饮等传统服务业持续发展。现代山地特色高效农业发展成效明显。坝区产业结构调整稳步推进，农业规模化发展成效显著。“黔北麻羊”全产业链全面形成，生猪、肉牛精深加工链条短板逐步补齐，农业产业资源循环利用链加快建立。“多彩习水”农特产品公共品牌行动计划持续推进，“两品一标一规”认证成效显著。国家现代农业产业园创建工作有序推进。</w:t>
      </w:r>
      <w:bookmarkStart w:id="27" w:name="_Toc523149489"/>
      <w:bookmarkStart w:id="28" w:name="_Toc20179"/>
      <w:bookmarkStart w:id="29" w:name="_Toc535509346"/>
      <w:bookmarkStart w:id="30" w:name="_Toc12253"/>
    </w:p>
    <w:p>
      <w:pPr>
        <w:spacing w:line="560" w:lineRule="exact"/>
        <w:ind w:firstLine="562"/>
        <w:rPr>
          <w:rFonts w:ascii="仿宋_GB2312" w:hAnsi="仿宋_GB2312" w:eastAsia="仿宋_GB2312" w:cs="仿宋_GB2312"/>
        </w:rPr>
      </w:pPr>
      <w:r>
        <w:rPr>
          <w:rFonts w:hint="eastAsia" w:ascii="仿宋_GB2312" w:hAnsi="仿宋_GB2312" w:eastAsia="仿宋_GB2312" w:cs="仿宋_GB2312"/>
          <w:b/>
          <w:bCs/>
        </w:rPr>
        <w:t>“旅居习水”</w:t>
      </w:r>
      <w:bookmarkEnd w:id="27"/>
      <w:bookmarkEnd w:id="28"/>
      <w:bookmarkEnd w:id="29"/>
      <w:bookmarkEnd w:id="30"/>
      <w:r>
        <w:rPr>
          <w:rFonts w:hint="eastAsia" w:ascii="仿宋_GB2312" w:hAnsi="仿宋_GB2312" w:eastAsia="仿宋_GB2312" w:cs="仿宋_GB2312"/>
          <w:b/>
          <w:bCs/>
        </w:rPr>
        <w:t>日新月异。</w:t>
      </w:r>
      <w:r>
        <w:rPr>
          <w:rFonts w:hint="eastAsia" w:ascii="仿宋_GB2312" w:hAnsi="仿宋_GB2312" w:eastAsia="仿宋_GB2312" w:cs="仿宋_GB2312"/>
        </w:rPr>
        <w:t>深入实施城镇化带动战略，积极推进撤县设市工作，生态文明示范城市、国家级旅游度假区和宜居宜业宜游的山水园林城市建设进展顺利。瞄准“县域旅居中心”建设目标，主动融入成渝城市集群，推进山地特色新型城镇化。编制完成《习水县国土空间总体规划（2020-2035）》。积极谋划习水电厂关闭后羊九片区功能定位和市场开发。城市扩容骨架基本形成，建成区面积从“十二五”末期的15.8平方公里拓展到20平方公里。实施棚户区改造项目48个，改造面积约168万平米，完成改造7710户；同步推进县城老旧小区改造，启动和开发建设城市综合体项目28项。中国习酒城建设高标准推进，推动“酒·旅·城”融合发展。按照“一主城，四片区，绿脉贯通”的“T形”城市空间布局，城市内循环道路逐步打通。</w:t>
      </w:r>
      <w:bookmarkStart w:id="31" w:name="_Toc14707"/>
      <w:bookmarkStart w:id="32" w:name="_Toc523149490"/>
      <w:bookmarkStart w:id="33" w:name="_Toc22448"/>
      <w:bookmarkStart w:id="34" w:name="_Toc7116"/>
      <w:bookmarkStart w:id="35" w:name="_Toc535509347"/>
      <w:r>
        <w:rPr>
          <w:rFonts w:hint="eastAsia" w:ascii="仿宋_GB2312" w:hAnsi="仿宋_GB2312" w:eastAsia="仿宋_GB2312" w:cs="仿宋_GB2312"/>
        </w:rPr>
        <w:t>习酒镇入选中国西部乡镇综合竞争力50强，土城镇被评为贵州十大新地标。三岔河丹霞谷酒店、岁月土城酒店、鰼部酒店被评定为三星级。着力推进乡村旅游民宿发展，初步建成以鰼创区为主的乡村民宿布点、连线、成面发展格局。</w:t>
      </w:r>
    </w:p>
    <w:bookmarkEnd w:id="31"/>
    <w:bookmarkEnd w:id="32"/>
    <w:bookmarkEnd w:id="33"/>
    <w:bookmarkEnd w:id="34"/>
    <w:p>
      <w:pPr>
        <w:spacing w:line="560" w:lineRule="exact"/>
        <w:ind w:firstLine="562"/>
        <w:rPr>
          <w:rFonts w:ascii="仿宋_GB2312" w:hAnsi="仿宋_GB2312" w:eastAsia="仿宋_GB2312" w:cs="仿宋_GB2312"/>
        </w:rPr>
      </w:pPr>
      <w:r>
        <w:rPr>
          <w:rFonts w:hint="eastAsia" w:ascii="仿宋_GB2312" w:hAnsi="仿宋_GB2312" w:eastAsia="仿宋_GB2312" w:cs="仿宋_GB2312"/>
          <w:b/>
          <w:bCs/>
        </w:rPr>
        <w:t>“畅通习水”</w:t>
      </w:r>
      <w:bookmarkEnd w:id="35"/>
      <w:r>
        <w:rPr>
          <w:rFonts w:hint="eastAsia" w:ascii="仿宋_GB2312" w:hAnsi="仿宋_GB2312" w:eastAsia="仿宋_GB2312" w:cs="仿宋_GB2312"/>
          <w:b/>
          <w:bCs/>
        </w:rPr>
        <w:t>提质增速。</w:t>
      </w:r>
      <w:r>
        <w:rPr>
          <w:rFonts w:hint="eastAsia" w:ascii="仿宋_GB2312" w:hAnsi="仿宋_GB2312" w:eastAsia="仿宋_GB2312" w:cs="仿宋_GB2312"/>
        </w:rPr>
        <w:t>江习古高速建成投用，习正高速即将建成通车。随着茅台机场通航和泸遵高铁立项建设，内联外通的立体交通网络加速形成。完成G212习水双垭子至习酒、G352土城至太平渡公路改扩建工程等重点公路建设。土城至习酒旅游公路及自行车道、丹霞谷景区至大水（大三路）等旅游公路建成投用。全县公路总里程达到</w:t>
      </w:r>
      <w:r>
        <w:rPr>
          <w:rFonts w:ascii="仿宋_GB2312" w:hAnsi="仿宋_GB2312" w:eastAsia="仿宋_GB2312" w:cs="仿宋_GB2312"/>
        </w:rPr>
        <w:t>8614.894</w:t>
      </w:r>
      <w:r>
        <w:rPr>
          <w:rFonts w:hint="eastAsia" w:ascii="仿宋_GB2312" w:hAnsi="仿宋_GB2312" w:eastAsia="仿宋_GB2312" w:cs="仿宋_GB2312"/>
        </w:rPr>
        <w:t>公里。建制镇通畅率、行政村通达率、村民组通路率达到“三个100%”，获评全国首批“四好农村公路”示范县。加快保丰水库、游龙溪水库和新田沟水库建设，启动建设向阳水库。实施莫洛500kV、黄木坪220kV输变电工程。</w:t>
      </w:r>
      <w:r>
        <w:rPr>
          <w:rFonts w:hint="eastAsia" w:ascii="仿宋_GB2312" w:hAnsi="仿宋_GB2312" w:eastAsia="仿宋_GB2312" w:cs="仿宋_GB2312"/>
          <w:lang w:eastAsia="zh-CN"/>
        </w:rPr>
        <w:t>建设</w:t>
      </w:r>
      <w:r>
        <w:rPr>
          <w:rFonts w:hint="eastAsia" w:ascii="仿宋_GB2312" w:hAnsi="仿宋_GB2312" w:eastAsia="仿宋_GB2312" w:cs="仿宋_GB2312"/>
        </w:rPr>
        <w:t>110kV</w:t>
      </w:r>
      <w:r>
        <w:rPr>
          <w:rFonts w:hint="eastAsia" w:ascii="仿宋_GB2312" w:hAnsi="仿宋_GB2312" w:eastAsia="仿宋_GB2312" w:cs="仿宋_GB2312"/>
          <w:lang w:eastAsia="zh-CN"/>
        </w:rPr>
        <w:t>习水变增容、</w:t>
      </w:r>
      <w:r>
        <w:rPr>
          <w:rFonts w:hint="eastAsia" w:ascii="仿宋_GB2312" w:hAnsi="仿宋_GB2312" w:eastAsia="仿宋_GB2312" w:cs="仿宋_GB2312"/>
        </w:rPr>
        <w:t>35kV</w:t>
      </w:r>
      <w:r>
        <w:rPr>
          <w:rFonts w:hint="eastAsia" w:ascii="仿宋_GB2312" w:hAnsi="仿宋_GB2312" w:eastAsia="仿宋_GB2312" w:cs="仿宋_GB2312"/>
          <w:lang w:eastAsia="zh-CN"/>
        </w:rPr>
        <w:t>伏龙变</w:t>
      </w:r>
      <w:r>
        <w:rPr>
          <w:rFonts w:hint="eastAsia" w:ascii="仿宋_GB2312" w:hAnsi="仿宋_GB2312" w:eastAsia="仿宋_GB2312" w:cs="仿宋_GB2312"/>
        </w:rPr>
        <w:t>、110kV银龙变增容工程。建成城乡天然气中压管道270.5公里，县城燃气普及率达94.69%。</w:t>
      </w:r>
      <w:bookmarkStart w:id="36" w:name="_Toc27750"/>
      <w:bookmarkStart w:id="37" w:name="_Toc523149493"/>
      <w:bookmarkStart w:id="38" w:name="_Toc31373"/>
      <w:bookmarkStart w:id="39" w:name="_Toc17382"/>
      <w:bookmarkStart w:id="40" w:name="_Toc535509350"/>
      <w:r>
        <w:rPr>
          <w:rFonts w:hint="eastAsia" w:ascii="仿宋_GB2312" w:hAnsi="仿宋_GB2312" w:eastAsia="仿宋_GB2312" w:cs="仿宋_GB2312"/>
        </w:rPr>
        <w:t>加快改（扩）建城乡污水管网，提高污水收集率，完成10个乡镇污水处理厂改造。县城污水处理厂改扩建完成，污水处理能力提升至2.5万吨/日，新（改）建城乡污水管网294公里。</w:t>
      </w:r>
    </w:p>
    <w:p>
      <w:pPr>
        <w:spacing w:line="560" w:lineRule="exact"/>
        <w:ind w:firstLine="562"/>
        <w:rPr>
          <w:rFonts w:ascii="仿宋_GB2312" w:hAnsi="仿宋_GB2312" w:eastAsia="仿宋_GB2312" w:cs="仿宋_GB2312"/>
        </w:rPr>
      </w:pPr>
      <w:r>
        <w:rPr>
          <w:rFonts w:hint="eastAsia" w:ascii="仿宋_GB2312" w:hAnsi="仿宋_GB2312" w:eastAsia="仿宋_GB2312" w:cs="仿宋_GB2312"/>
          <w:b/>
          <w:bCs/>
        </w:rPr>
        <w:t>“智慧习水”</w:t>
      </w:r>
      <w:bookmarkEnd w:id="36"/>
      <w:bookmarkEnd w:id="37"/>
      <w:bookmarkEnd w:id="38"/>
      <w:bookmarkEnd w:id="39"/>
      <w:bookmarkEnd w:id="40"/>
      <w:r>
        <w:rPr>
          <w:rFonts w:hint="eastAsia" w:ascii="仿宋_GB2312" w:hAnsi="仿宋_GB2312" w:eastAsia="仿宋_GB2312" w:cs="仿宋_GB2312"/>
          <w:b/>
          <w:bCs/>
        </w:rPr>
        <w:t>风生水起。</w:t>
      </w:r>
      <w:r>
        <w:rPr>
          <w:rFonts w:hint="eastAsia" w:ascii="仿宋_GB2312" w:hAnsi="仿宋_GB2312" w:eastAsia="仿宋_GB2312" w:cs="仿宋_GB2312"/>
        </w:rPr>
        <w:t>“十三五”以来，全县新（改）4G基站1</w:t>
      </w:r>
      <w:r>
        <w:rPr>
          <w:rFonts w:ascii="仿宋_GB2312" w:hAnsi="仿宋_GB2312" w:eastAsia="仿宋_GB2312" w:cs="仿宋_GB2312"/>
        </w:rPr>
        <w:t>7</w:t>
      </w:r>
      <w:r>
        <w:rPr>
          <w:rFonts w:hint="eastAsia" w:ascii="仿宋_GB2312" w:hAnsi="仿宋_GB2312" w:eastAsia="仿宋_GB2312" w:cs="仿宋_GB2312"/>
        </w:rPr>
        <w:t>56个，5G基站118个</w:t>
      </w:r>
      <w:r>
        <w:rPr>
          <w:rFonts w:ascii="仿宋_GB2312" w:hAnsi="仿宋_GB2312" w:eastAsia="仿宋_GB2312" w:cs="仿宋_GB2312"/>
        </w:rPr>
        <w:t>，</w:t>
      </w:r>
      <w:r>
        <w:rPr>
          <w:rFonts w:hint="eastAsia" w:ascii="仿宋_GB2312" w:hAnsi="仿宋_GB2312" w:eastAsia="仿宋_GB2312" w:cs="仿宋_GB2312"/>
        </w:rPr>
        <w:t>新建光缆线路2480公里，城市和农村宽带接入能力20M用户覆盖比例均达100%，光纤到户覆盖家庭合计达20余万户，行政村通宽带比例达9</w:t>
      </w:r>
      <w:r>
        <w:rPr>
          <w:rFonts w:ascii="仿宋_GB2312" w:hAnsi="仿宋_GB2312" w:eastAsia="仿宋_GB2312" w:cs="仿宋_GB2312"/>
        </w:rPr>
        <w:t>8</w:t>
      </w:r>
      <w:r>
        <w:rPr>
          <w:rFonts w:hint="eastAsia" w:ascii="仿宋_GB2312" w:hAnsi="仿宋_GB2312" w:eastAsia="仿宋_GB2312" w:cs="仿宋_GB2312"/>
        </w:rPr>
        <w:t>%，信息基础设施建设累计完成投资</w:t>
      </w:r>
      <w:r>
        <w:rPr>
          <w:rFonts w:ascii="仿宋_GB2312" w:hAnsi="仿宋_GB2312" w:eastAsia="仿宋_GB2312" w:cs="仿宋_GB2312"/>
        </w:rPr>
        <w:t>10</w:t>
      </w:r>
      <w:r>
        <w:rPr>
          <w:rFonts w:hint="eastAsia" w:ascii="仿宋_GB2312" w:hAnsi="仿宋_GB2312" w:eastAsia="仿宋_GB2312" w:cs="仿宋_GB2312"/>
        </w:rPr>
        <w:t>亿元以上。县城5G网络试点工程全面启动。全县建设县级电子商务公共服务中心</w:t>
      </w:r>
      <w:r>
        <w:rPr>
          <w:rFonts w:ascii="仿宋_GB2312" w:hAnsi="仿宋_GB2312" w:eastAsia="仿宋_GB2312" w:cs="仿宋_GB2312"/>
        </w:rPr>
        <w:t>1</w:t>
      </w:r>
      <w:r>
        <w:rPr>
          <w:rFonts w:hint="eastAsia" w:ascii="仿宋_GB2312" w:hAnsi="仿宋_GB2312" w:eastAsia="仿宋_GB2312" w:cs="仿宋_GB2312"/>
        </w:rPr>
        <w:t>个，乡镇级电子商务服务站</w:t>
      </w:r>
      <w:r>
        <w:rPr>
          <w:rFonts w:ascii="仿宋_GB2312" w:hAnsi="仿宋_GB2312" w:eastAsia="仿宋_GB2312" w:cs="仿宋_GB2312"/>
        </w:rPr>
        <w:t>17</w:t>
      </w:r>
      <w:r>
        <w:rPr>
          <w:rFonts w:hint="eastAsia" w:ascii="仿宋_GB2312" w:hAnsi="仿宋_GB2312" w:eastAsia="仿宋_GB2312" w:cs="仿宋_GB2312"/>
        </w:rPr>
        <w:t>个，村级电子商务服务站1</w:t>
      </w:r>
      <w:r>
        <w:rPr>
          <w:rFonts w:ascii="仿宋_GB2312" w:hAnsi="仿宋_GB2312" w:eastAsia="仿宋_GB2312" w:cs="仿宋_GB2312"/>
        </w:rPr>
        <w:t>94</w:t>
      </w:r>
      <w:r>
        <w:rPr>
          <w:rFonts w:hint="eastAsia" w:ascii="仿宋_GB2312" w:hAnsi="仿宋_GB2312" w:eastAsia="仿宋_GB2312" w:cs="仿宋_GB2312"/>
        </w:rPr>
        <w:t>个，培育网商2000余个。建成习水县全域旅游集散中心、鰼部园区、土城古镇等景区景点智慧旅游系统。完成智慧旅游管理平台、远端云数据中心服务等功能。</w:t>
      </w:r>
      <w:bookmarkStart w:id="41" w:name="_Toc26008"/>
      <w:bookmarkStart w:id="42" w:name="_Toc535509351"/>
      <w:bookmarkStart w:id="43" w:name="_Toc19697"/>
      <w:bookmarkStart w:id="44" w:name="_Toc523149494"/>
      <w:bookmarkStart w:id="45" w:name="_Toc5501"/>
    </w:p>
    <w:p>
      <w:pPr>
        <w:spacing w:line="560" w:lineRule="exact"/>
        <w:ind w:firstLine="562"/>
        <w:rPr>
          <w:rFonts w:ascii="仿宋_GB2312" w:hAnsi="仿宋_GB2312" w:eastAsia="仿宋_GB2312" w:cs="仿宋_GB2312"/>
        </w:rPr>
      </w:pPr>
      <w:r>
        <w:rPr>
          <w:rFonts w:hint="eastAsia" w:ascii="仿宋_GB2312" w:hAnsi="仿宋_GB2312" w:eastAsia="仿宋_GB2312" w:cs="仿宋_GB2312"/>
          <w:b/>
          <w:bCs/>
        </w:rPr>
        <w:t>社会事业</w:t>
      </w:r>
      <w:bookmarkEnd w:id="41"/>
      <w:bookmarkEnd w:id="42"/>
      <w:bookmarkEnd w:id="43"/>
      <w:bookmarkEnd w:id="44"/>
      <w:bookmarkEnd w:id="45"/>
      <w:bookmarkStart w:id="46" w:name="_Toc20802"/>
      <w:r>
        <w:rPr>
          <w:rFonts w:hint="eastAsia" w:ascii="仿宋_GB2312" w:hAnsi="仿宋_GB2312" w:eastAsia="仿宋_GB2312" w:cs="仿宋_GB2312"/>
          <w:b/>
          <w:bCs/>
        </w:rPr>
        <w:t>繁荣昌盛。</w:t>
      </w:r>
      <w:bookmarkEnd w:id="46"/>
      <w:r>
        <w:rPr>
          <w:rFonts w:hint="eastAsia" w:ascii="仿宋_GB2312" w:hAnsi="仿宋_GB2312" w:eastAsia="仿宋_GB2312" w:cs="仿宋_GB2312"/>
        </w:rPr>
        <w:t>全县学校布局进一步优化，义务教育基本均衡顺利通过国家验收。教师全员聘用制改革顺利完成，集团化办学初见成效。引导社会力量兴办育幼服务机构，学前教育发展加快，普惠性幼儿园覆盖率达80.</w:t>
      </w:r>
      <w:r>
        <w:rPr>
          <w:rFonts w:ascii="仿宋_GB2312" w:hAnsi="仿宋_GB2312" w:eastAsia="仿宋_GB2312" w:cs="仿宋_GB2312"/>
        </w:rPr>
        <w:t>2</w:t>
      </w:r>
      <w:r>
        <w:rPr>
          <w:rFonts w:hint="eastAsia" w:ascii="仿宋_GB2312" w:hAnsi="仿宋_GB2312" w:eastAsia="仿宋_GB2312" w:cs="仿宋_GB2312"/>
        </w:rPr>
        <w:t>7%。中等职业学校集约化、规模化发展。深化公立医院改革，支持和规范民营医院发展，医院结构体系不断优化。建成县妇幼保健院，开工建设县第二人民医院、仁爱健康产业园。县人民医院三级综合医院、二级县妇幼保健院达标创建工作稳步推进。加快数字文化馆建设，县文化馆顺利通过国家一级馆复评。新时代文明实践中心建设正式启动。加强红色文化研究，创作红色文化精品。全面落实中央“稳就业”各项部署，以易地扶贫搬迁群众为重点，统筹推进高校毕业生、退役军人、城镇就业困难人员多元化就业创业，实现零就业家庭动态清零。累计实现城镇新增就业5.1</w:t>
      </w:r>
      <w:r>
        <w:rPr>
          <w:rFonts w:hint="eastAsia" w:ascii="仿宋_GB2312" w:hAnsi="仿宋_GB2312" w:eastAsia="仿宋_GB2312" w:cs="仿宋_GB2312"/>
          <w:lang w:val="en-US" w:eastAsia="zh-CN"/>
        </w:rPr>
        <w:t>4</w:t>
      </w:r>
      <w:r>
        <w:rPr>
          <w:rFonts w:hint="eastAsia" w:ascii="仿宋_GB2312" w:hAnsi="仿宋_GB2312" w:eastAsia="仿宋_GB2312" w:cs="仿宋_GB2312"/>
        </w:rPr>
        <w:t>万人，城镇失业率控制在4%以内。大力开展“城市解困·和弦行动”，统筹好城乡低保、特困供养、社会救助、临时救助等工作，织牢织密困难群体基本生活“兜底网”。</w:t>
      </w:r>
    </w:p>
    <w:p>
      <w:pPr>
        <w:spacing w:line="560" w:lineRule="exact"/>
        <w:ind w:firstLine="562"/>
        <w:rPr>
          <w:rFonts w:ascii="仿宋_GB2312" w:hAnsi="仿宋_GB2312" w:eastAsia="仿宋_GB2312" w:cs="仿宋_GB2312"/>
        </w:rPr>
      </w:pPr>
      <w:bookmarkStart w:id="47" w:name="_Toc535509348"/>
      <w:r>
        <w:rPr>
          <w:rFonts w:hint="eastAsia" w:ascii="仿宋_GB2312" w:hAnsi="仿宋_GB2312" w:eastAsia="仿宋_GB2312" w:cs="仿宋_GB2312"/>
          <w:b/>
          <w:bCs/>
        </w:rPr>
        <w:t>“开放习水”</w:t>
      </w:r>
      <w:bookmarkEnd w:id="47"/>
      <w:r>
        <w:rPr>
          <w:rFonts w:hint="eastAsia" w:ascii="仿宋_GB2312" w:hAnsi="仿宋_GB2312" w:eastAsia="仿宋_GB2312" w:cs="仿宋_GB2312"/>
          <w:b/>
          <w:bCs/>
        </w:rPr>
        <w:t>成绩斐然。</w:t>
      </w:r>
      <w:r>
        <w:rPr>
          <w:rFonts w:hint="eastAsia" w:ascii="仿宋_GB2312" w:hAnsi="仿宋_GB2312" w:eastAsia="仿宋_GB2312" w:cs="仿宋_GB2312"/>
        </w:rPr>
        <w:t>加强与周边县市交通对接、产业协作、旅游联动、商贸流通和文化交流，强化与上海等中东部地区经济协作,“开放习水”扎实推进。以供给侧结构性改革为抓手，紧紧围绕“三去一降一补”五大任务，深化“放管服”，落实商事制度改革，顺利完成财税体制改革、行政审批制度改革、投融资体制改革、国税地税征管体制改革等工作，进一步降低企业负担、优化市场环境，激发创业创新活力。围绕“五基地一中心”抓好开放创新平台建设，把产业园区、鰼部园区、经开区、红创区作为开放创新的主阵地，充分发挥对区域联动发展的带动作用，完成外贸进出口2967.95万美元，累计引进省外资金</w:t>
      </w:r>
      <w:r>
        <w:rPr>
          <w:rFonts w:hint="eastAsia" w:ascii="仿宋_GB2312" w:hAnsi="仿宋_GB2312" w:eastAsia="仿宋_GB2312" w:cs="仿宋_GB2312"/>
          <w:lang w:val="en-US" w:eastAsia="zh-CN"/>
        </w:rPr>
        <w:t>656</w:t>
      </w:r>
      <w:r>
        <w:rPr>
          <w:rFonts w:hint="eastAsia" w:ascii="仿宋_GB2312" w:hAnsi="仿宋_GB2312" w:eastAsia="仿宋_GB2312" w:cs="仿宋_GB2312"/>
        </w:rPr>
        <w:t>亿元。</w:t>
      </w:r>
    </w:p>
    <w:p>
      <w:pPr>
        <w:spacing w:line="560" w:lineRule="exact"/>
        <w:ind w:firstLine="562"/>
        <w:rPr>
          <w:rFonts w:ascii="仿宋_GB2312" w:hAnsi="仿宋_GB2312" w:eastAsia="仿宋_GB2312" w:cs="仿宋_GB2312"/>
        </w:rPr>
      </w:pPr>
      <w:bookmarkStart w:id="48" w:name="_Toc535509352"/>
      <w:r>
        <w:rPr>
          <w:rFonts w:hint="eastAsia" w:ascii="仿宋_GB2312" w:hAnsi="仿宋_GB2312" w:eastAsia="仿宋_GB2312" w:cs="仿宋_GB2312"/>
          <w:b/>
          <w:bCs/>
        </w:rPr>
        <w:t>“和谐习水”</w:t>
      </w:r>
      <w:bookmarkEnd w:id="48"/>
      <w:r>
        <w:rPr>
          <w:rFonts w:hint="eastAsia" w:ascii="仿宋_GB2312" w:hAnsi="仿宋_GB2312" w:eastAsia="仿宋_GB2312" w:cs="仿宋_GB2312"/>
          <w:b/>
          <w:bCs/>
        </w:rPr>
        <w:t>成效显著。</w:t>
      </w:r>
      <w:r>
        <w:rPr>
          <w:rFonts w:hint="eastAsia" w:ascii="仿宋_GB2312" w:hAnsi="仿宋_GB2312" w:eastAsia="仿宋_GB2312" w:cs="仿宋_GB2312"/>
        </w:rPr>
        <w:t>强化法治政府建设主体责任，实施法治政府责任清单制度。自觉接受各方监督，重大行政决策科学民主法治水平不断提高。坚持运用法治思维和法治方式，被评为“全国法治县创建先进单位”。积极探索信访管理新模式，实施信访管理模式“12349”工作机制，畅通群众利益协调、权益保障的法律渠道，把信访纳入法治化轨道。持续深入开展“扫黑除恶”、打击“两抢一盗”等专项斗争，人民群众安全感、满意度实现“双提升”。安全生产实现“双降”，“平安习水”建设成效显著。落实利用茅台酒和名贵特产谋取私利等整治工作，驰而不息纠正“四风”，政风行风持续好转。</w:t>
      </w:r>
    </w:p>
    <w:p>
      <w:pPr>
        <w:pStyle w:val="5"/>
        <w:jc w:val="center"/>
        <w:rPr>
          <w:rFonts w:ascii="仿宋_GB2312" w:hAnsi="仿宋_GB2312" w:eastAsia="仿宋_GB2312" w:cs="仿宋_GB2312"/>
          <w:b/>
          <w:bCs/>
          <w:sz w:val="32"/>
          <w:szCs w:val="32"/>
        </w:rPr>
      </w:pPr>
      <w:bookmarkStart w:id="49" w:name="_Toc32029"/>
      <w:bookmarkStart w:id="50" w:name="_Toc3111"/>
      <w:bookmarkStart w:id="51" w:name="_Toc24411"/>
      <w:bookmarkStart w:id="52" w:name="_Toc470854845"/>
      <w:bookmarkStart w:id="53" w:name="_Toc19194"/>
      <w:bookmarkStart w:id="54" w:name="_Toc14210"/>
      <w:bookmarkStart w:id="55" w:name="_Toc446667203"/>
      <w:r>
        <w:rPr>
          <w:rFonts w:hint="eastAsia" w:ascii="仿宋_GB2312" w:hAnsi="仿宋_GB2312" w:eastAsia="仿宋_GB2312" w:cs="仿宋_GB2312"/>
          <w:b/>
          <w:bCs/>
          <w:sz w:val="32"/>
          <w:szCs w:val="32"/>
        </w:rPr>
        <w:t>第二节   存在问题</w:t>
      </w:r>
      <w:bookmarkEnd w:id="49"/>
      <w:bookmarkEnd w:id="50"/>
      <w:bookmarkEnd w:id="51"/>
      <w:bookmarkEnd w:id="52"/>
      <w:bookmarkEnd w:id="53"/>
      <w:bookmarkEnd w:id="54"/>
      <w:bookmarkEnd w:id="55"/>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在</w:t>
      </w:r>
      <w:r>
        <w:rPr>
          <w:rFonts w:ascii="仿宋_GB2312" w:hAnsi="仿宋_GB2312" w:eastAsia="仿宋_GB2312" w:cs="仿宋_GB2312"/>
        </w:rPr>
        <w:t>充分肯定我县</w:t>
      </w:r>
      <w:r>
        <w:rPr>
          <w:rFonts w:hint="eastAsia" w:ascii="仿宋_GB2312" w:hAnsi="仿宋_GB2312" w:eastAsia="仿宋_GB2312" w:cs="仿宋_GB2312"/>
        </w:rPr>
        <w:t>“十三五”期间成绩</w:t>
      </w:r>
      <w:r>
        <w:rPr>
          <w:rFonts w:ascii="仿宋_GB2312" w:hAnsi="仿宋_GB2312" w:eastAsia="仿宋_GB2312" w:cs="仿宋_GB2312"/>
        </w:rPr>
        <w:t>的同时</w:t>
      </w:r>
      <w:r>
        <w:rPr>
          <w:rFonts w:hint="eastAsia" w:ascii="仿宋_GB2312" w:hAnsi="仿宋_GB2312" w:eastAsia="仿宋_GB2312" w:cs="仿宋_GB2312"/>
        </w:rPr>
        <w:t>，也</w:t>
      </w:r>
      <w:r>
        <w:rPr>
          <w:rFonts w:ascii="仿宋_GB2312" w:hAnsi="仿宋_GB2312" w:eastAsia="仿宋_GB2312" w:cs="仿宋_GB2312"/>
        </w:rPr>
        <w:t>要</w:t>
      </w:r>
      <w:r>
        <w:rPr>
          <w:rFonts w:hint="eastAsia" w:ascii="仿宋_GB2312" w:hAnsi="仿宋_GB2312" w:eastAsia="仿宋_GB2312" w:cs="仿宋_GB2312"/>
        </w:rPr>
        <w:t>清醒</w:t>
      </w:r>
      <w:r>
        <w:rPr>
          <w:rFonts w:ascii="仿宋_GB2312" w:hAnsi="仿宋_GB2312" w:eastAsia="仿宋_GB2312" w:cs="仿宋_GB2312"/>
        </w:rPr>
        <w:t>认识到，</w:t>
      </w:r>
      <w:r>
        <w:rPr>
          <w:rFonts w:hint="eastAsia" w:ascii="仿宋_GB2312" w:hAnsi="仿宋_GB2312" w:eastAsia="仿宋_GB2312" w:cs="仿宋_GB2312"/>
        </w:rPr>
        <w:t>我县欠发达、欠开发、欠开放的基本县情没有变，发展不平衡不充分问题依旧突出，制约全县经济社会发展的深层次问题和矛盾依然存在，突出表现在：</w:t>
      </w:r>
    </w:p>
    <w:p>
      <w:pPr>
        <w:pStyle w:val="18"/>
        <w:spacing w:before="156" w:after="156" w:line="560" w:lineRule="exact"/>
        <w:ind w:left="0" w:firstLine="562"/>
        <w:rPr>
          <w:rFonts w:ascii="仿宋_GB2312" w:hAnsi="仿宋_GB2312" w:eastAsia="仿宋_GB2312" w:cs="仿宋_GB2312"/>
          <w:bCs/>
          <w:szCs w:val="28"/>
        </w:rPr>
      </w:pPr>
      <w:r>
        <w:rPr>
          <w:rFonts w:hint="eastAsia" w:ascii="仿宋_GB2312" w:hAnsi="仿宋_GB2312" w:eastAsia="仿宋_GB2312" w:cs="仿宋_GB2312"/>
          <w:b/>
          <w:bCs/>
          <w:szCs w:val="28"/>
        </w:rPr>
        <w:t>产业结构有待优化，持续发展动力不足</w:t>
      </w:r>
      <w:r>
        <w:rPr>
          <w:rFonts w:hint="eastAsia" w:ascii="仿宋_GB2312" w:hAnsi="仿宋_GB2312" w:eastAsia="仿宋_GB2312" w:cs="仿宋_GB2312"/>
          <w:bCs/>
          <w:szCs w:val="28"/>
        </w:rPr>
        <w:t>。我县二产结构不优，三产较为滞后，主要表现为白酒工业发展势头良好，但科技、研发、检测、金融等服务支撑能力有待加强。传统服务业占主导地位，现代服务业发展相对缓慢。旅游业发展以政府投资为主，缺乏具有品牌号召力的大项目，经济发展持续动力不足。</w:t>
      </w:r>
    </w:p>
    <w:p>
      <w:pPr>
        <w:pStyle w:val="18"/>
        <w:spacing w:before="156" w:after="156" w:line="560" w:lineRule="exact"/>
        <w:ind w:left="0" w:firstLine="562"/>
        <w:rPr>
          <w:rFonts w:ascii="仿宋_GB2312" w:hAnsi="仿宋_GB2312" w:eastAsia="仿宋_GB2312" w:cs="仿宋_GB2312"/>
          <w:bCs/>
          <w:szCs w:val="28"/>
        </w:rPr>
      </w:pPr>
      <w:r>
        <w:rPr>
          <w:rFonts w:hint="eastAsia" w:ascii="仿宋_GB2312" w:hAnsi="仿宋_GB2312" w:eastAsia="仿宋_GB2312" w:cs="仿宋_GB2312"/>
          <w:b/>
          <w:bCs/>
          <w:szCs w:val="28"/>
        </w:rPr>
        <w:t>城乡统筹任重道远，乡村振兴有待突破</w:t>
      </w:r>
      <w:r>
        <w:rPr>
          <w:rFonts w:hint="eastAsia" w:ascii="仿宋_GB2312" w:hAnsi="仿宋_GB2312" w:eastAsia="仿宋_GB2312" w:cs="仿宋_GB2312"/>
          <w:bCs/>
          <w:szCs w:val="28"/>
        </w:rPr>
        <w:t>。近年来，我县按照中央和省市要求，着力推进城乡统筹发展和乡村振兴，取得一定成效。但城乡仍然存在一定差距，统筹发展格局尚未真正形成。农村地区产业结构单一、基础设施落后、经济组织涣散、乡村治理能力较弱，城乡资源双向流动机制不健全等问题依旧存在，乡村振兴尚未取得突破性进展。</w:t>
      </w:r>
    </w:p>
    <w:p>
      <w:pPr>
        <w:pStyle w:val="18"/>
        <w:spacing w:before="156" w:after="156" w:line="560" w:lineRule="exact"/>
        <w:ind w:left="0" w:firstLine="562"/>
        <w:rPr>
          <w:rFonts w:ascii="仿宋_GB2312" w:hAnsi="仿宋_GB2312" w:eastAsia="仿宋_GB2312" w:cs="仿宋_GB2312"/>
          <w:bCs/>
          <w:szCs w:val="28"/>
        </w:rPr>
      </w:pPr>
      <w:r>
        <w:rPr>
          <w:rFonts w:hint="eastAsia" w:ascii="仿宋_GB2312" w:hAnsi="仿宋_GB2312" w:eastAsia="仿宋_GB2312" w:cs="仿宋_GB2312"/>
          <w:b/>
          <w:bCs/>
          <w:szCs w:val="28"/>
        </w:rPr>
        <w:t>城市功能有待加强，城镇建设亟待提升</w:t>
      </w:r>
      <w:r>
        <w:rPr>
          <w:rFonts w:hint="eastAsia" w:ascii="仿宋_GB2312" w:hAnsi="仿宋_GB2312" w:eastAsia="仿宋_GB2312" w:cs="仿宋_GB2312"/>
          <w:bCs/>
          <w:szCs w:val="28"/>
        </w:rPr>
        <w:t>。城镇化发展程度不高、“小城镇、大农村”的发展格局尚未得到根本改变。城区功能有待增强，教育、</w:t>
      </w:r>
      <w:r>
        <w:rPr>
          <w:rFonts w:ascii="仿宋_GB2312" w:hAnsi="仿宋_GB2312" w:eastAsia="仿宋_GB2312" w:cs="仿宋_GB2312"/>
          <w:bCs/>
          <w:szCs w:val="28"/>
        </w:rPr>
        <w:t>医疗</w:t>
      </w:r>
      <w:r>
        <w:rPr>
          <w:rFonts w:hint="eastAsia" w:ascii="仿宋_GB2312" w:hAnsi="仿宋_GB2312" w:eastAsia="仿宋_GB2312" w:cs="仿宋_GB2312"/>
          <w:bCs/>
          <w:szCs w:val="28"/>
        </w:rPr>
        <w:t>等基本</w:t>
      </w:r>
      <w:r>
        <w:rPr>
          <w:rFonts w:ascii="仿宋_GB2312" w:hAnsi="仿宋_GB2312" w:eastAsia="仿宋_GB2312" w:cs="仿宋_GB2312"/>
          <w:bCs/>
          <w:szCs w:val="28"/>
        </w:rPr>
        <w:t>公共服务能力及</w:t>
      </w:r>
      <w:r>
        <w:rPr>
          <w:rFonts w:hint="eastAsia" w:ascii="仿宋_GB2312" w:hAnsi="仿宋_GB2312" w:eastAsia="仿宋_GB2312" w:cs="仿宋_GB2312"/>
          <w:bCs/>
          <w:szCs w:val="28"/>
        </w:rPr>
        <w:t>旅游、康养等综合服务能力存在短板。小城镇建设薄弱，基础设施建设相对滞后，缺少产业强镇。</w:t>
      </w:r>
    </w:p>
    <w:p>
      <w:pPr>
        <w:pStyle w:val="18"/>
        <w:spacing w:before="156" w:after="156" w:line="560" w:lineRule="exact"/>
        <w:ind w:left="0" w:firstLine="562"/>
        <w:rPr>
          <w:rFonts w:ascii="仿宋_GB2312" w:hAnsi="仿宋_GB2312" w:eastAsia="仿宋_GB2312" w:cs="仿宋_GB2312"/>
          <w:szCs w:val="28"/>
        </w:rPr>
      </w:pPr>
      <w:r>
        <w:rPr>
          <w:rFonts w:hint="eastAsia" w:ascii="仿宋_GB2312" w:hAnsi="仿宋_GB2312" w:eastAsia="仿宋_GB2312" w:cs="仿宋_GB2312"/>
          <w:b/>
          <w:bCs/>
          <w:szCs w:val="28"/>
        </w:rPr>
        <w:t>创新发展活力不强，改革开放还需深化</w:t>
      </w:r>
      <w:r>
        <w:rPr>
          <w:rFonts w:hint="eastAsia" w:ascii="仿宋_GB2312" w:hAnsi="仿宋_GB2312" w:eastAsia="仿宋_GB2312" w:cs="仿宋_GB2312"/>
          <w:bCs/>
          <w:szCs w:val="28"/>
        </w:rPr>
        <w:t>。我县要实现经济社会高质量发展，关键要在改革、开放、创新上下功夫。从目前情况看，以政府投资</w:t>
      </w:r>
      <w:r>
        <w:rPr>
          <w:rFonts w:hint="eastAsia" w:ascii="仿宋_GB2312" w:hAnsi="仿宋_GB2312" w:eastAsia="仿宋_GB2312" w:cs="仿宋_GB2312"/>
          <w:szCs w:val="28"/>
        </w:rPr>
        <w:t>为主导的旅游发展模式、小城镇建设模式和基础设施投融资模式亟须改革；乡村社会治理和农业产业链打造方式亟待创新。产业结构优化升级和融入成渝经济圈需要以更开放的胸怀开展区域合作，以更创新的措施整合国内外资源。</w:t>
      </w:r>
    </w:p>
    <w:p>
      <w:pPr>
        <w:pStyle w:val="18"/>
        <w:spacing w:before="156" w:after="156" w:line="560" w:lineRule="exact"/>
        <w:ind w:left="0" w:firstLine="562"/>
        <w:rPr>
          <w:rFonts w:hint="eastAsia" w:ascii="仿宋_GB2312" w:hAnsi="仿宋_GB2312" w:eastAsia="仿宋_GB2312" w:cs="仿宋_GB2312"/>
          <w:b/>
          <w:bCs/>
          <w:szCs w:val="28"/>
        </w:rPr>
      </w:pPr>
    </w:p>
    <w:p>
      <w:pPr>
        <w:pStyle w:val="18"/>
        <w:spacing w:before="156" w:after="156" w:line="560" w:lineRule="exact"/>
        <w:ind w:left="0" w:firstLine="562"/>
        <w:rPr>
          <w:rFonts w:hint="eastAsia" w:ascii="仿宋_GB2312" w:hAnsi="仿宋_GB2312" w:eastAsia="仿宋_GB2312" w:cs="仿宋_GB2312"/>
          <w:b/>
          <w:bCs/>
          <w:szCs w:val="28"/>
        </w:rPr>
      </w:pPr>
    </w:p>
    <w:p>
      <w:pPr>
        <w:pStyle w:val="18"/>
        <w:spacing w:before="156" w:after="156" w:line="560" w:lineRule="exact"/>
        <w:ind w:left="0" w:firstLine="562"/>
        <w:rPr>
          <w:rFonts w:hint="eastAsia" w:ascii="仿宋_GB2312" w:hAnsi="仿宋_GB2312" w:eastAsia="仿宋_GB2312" w:cs="仿宋_GB2312"/>
          <w:b/>
          <w:bCs/>
          <w:szCs w:val="28"/>
        </w:rPr>
      </w:pPr>
    </w:p>
    <w:p>
      <w:pPr>
        <w:widowControl/>
        <w:spacing w:before="156" w:after="156"/>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专栏1： 习水县“十三五”规划主要指标完成情况</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992"/>
        <w:gridCol w:w="1475"/>
        <w:gridCol w:w="1970"/>
        <w:gridCol w:w="1573"/>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 别</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 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2020年目标值</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2020年预计</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经</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济</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增</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长</w:t>
            </w:r>
          </w:p>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地区生产总值（亿元）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210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204.5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第一产业增加值（亿元）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37.3</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第二产业增加值（亿元）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91.7</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90.5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规模以上工业增加值（亿元，2000万元以上口径）</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140.8</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122.43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第三产业增加值（亿元）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81</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78.5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人均地区生产总值（元）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50000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39962</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财政总收入（亿元）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31</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52.</w:t>
            </w:r>
            <w:r>
              <w:rPr>
                <w:rFonts w:hint="eastAsia" w:ascii="仿宋_GB2312" w:hAnsi="仿宋_GB2312" w:eastAsia="仿宋_GB2312" w:cs="仿宋_GB2312"/>
                <w:color w:val="auto"/>
                <w:sz w:val="18"/>
                <w:szCs w:val="18"/>
                <w:lang w:val="en-US" w:eastAsia="zh-CN"/>
              </w:rPr>
              <w:t>82</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170.39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一般公共财政预算收入</w:t>
            </w:r>
          </w:p>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14.6</w:t>
            </w:r>
            <w:r>
              <w:rPr>
                <w:rFonts w:hint="eastAsia" w:ascii="仿宋_GB2312" w:hAnsi="仿宋_GB2312" w:eastAsia="仿宋_GB2312" w:cs="仿宋_GB2312"/>
                <w:color w:val="auto"/>
                <w:sz w:val="18"/>
                <w:szCs w:val="18"/>
                <w:lang w:val="en-US" w:eastAsia="zh-CN"/>
              </w:rPr>
              <w:t>8</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112.</w:t>
            </w:r>
            <w:r>
              <w:rPr>
                <w:rFonts w:hint="eastAsia" w:ascii="仿宋_GB2312" w:hAnsi="仿宋_GB2312" w:eastAsia="仿宋_GB2312" w:cs="仿宋_GB2312"/>
                <w:color w:val="auto"/>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500万元以上固定资产投资（亿元）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[961.94]</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社会消费品零售总额（亿元）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33.8</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引进省外到位资金（亿元）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656</w:t>
            </w:r>
            <w:r>
              <w:rPr>
                <w:rFonts w:hint="eastAsia" w:ascii="仿宋_GB2312" w:hAnsi="仿宋_GB2312" w:eastAsia="仿宋_GB2312" w:cs="仿宋_GB2312"/>
                <w:color w:val="auto"/>
                <w:sz w:val="18"/>
                <w:szCs w:val="18"/>
              </w:rPr>
              <w:t>]</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转</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型</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升</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级</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三次产业结构</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17.76</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43.67</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38.57</w:t>
            </w:r>
          </w:p>
        </w:tc>
        <w:tc>
          <w:tcPr>
            <w:tcW w:w="1761"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17.</w:t>
            </w:r>
            <w:r>
              <w:rPr>
                <w:rFonts w:hint="eastAsia" w:ascii="仿宋_GB2312" w:hAnsi="仿宋_GB2312" w:eastAsia="仿宋_GB2312" w:cs="仿宋_GB2312"/>
                <w:color w:val="auto"/>
                <w:sz w:val="18"/>
                <w:szCs w:val="18"/>
                <w:lang w:val="en-US" w:eastAsia="zh-CN"/>
              </w:rPr>
              <w:t>35</w:t>
            </w:r>
            <w:r>
              <w:rPr>
                <w:rFonts w:hint="eastAsia" w:ascii="仿宋_GB2312" w:hAnsi="仿宋_GB2312" w:eastAsia="仿宋_GB2312" w:cs="仿宋_GB2312"/>
                <w:color w:val="auto"/>
                <w:sz w:val="18"/>
                <w:szCs w:val="18"/>
              </w:rPr>
              <w:t>：44.</w:t>
            </w:r>
            <w:r>
              <w:rPr>
                <w:rFonts w:hint="eastAsia" w:ascii="仿宋_GB2312" w:hAnsi="仿宋_GB2312" w:eastAsia="仿宋_GB2312" w:cs="仿宋_GB2312"/>
                <w:color w:val="auto"/>
                <w:sz w:val="18"/>
                <w:szCs w:val="18"/>
                <w:lang w:val="en-US" w:eastAsia="zh-CN"/>
              </w:rPr>
              <w:t>25</w:t>
            </w:r>
            <w:r>
              <w:rPr>
                <w:rFonts w:hint="eastAsia" w:ascii="仿宋_GB2312" w:hAnsi="仿宋_GB2312" w:eastAsia="仿宋_GB2312" w:cs="仿宋_GB2312"/>
                <w:color w:val="auto"/>
                <w:sz w:val="18"/>
                <w:szCs w:val="18"/>
              </w:rPr>
              <w:t>:38.3</w:t>
            </w:r>
            <w:r>
              <w:rPr>
                <w:rFonts w:hint="eastAsia" w:ascii="仿宋_GB2312" w:hAnsi="仿宋_GB2312" w:eastAsia="仿宋_GB2312" w:cs="仿宋_GB2312"/>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工业增加值占GDP的比重（%）</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68.85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582" w:type="pct"/>
            <w:vMerge w:val="restart"/>
            <w:tcBorders>
              <w:top w:val="nil"/>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城镇化率（%）</w:t>
            </w:r>
          </w:p>
        </w:tc>
        <w:tc>
          <w:tcPr>
            <w:tcW w:w="865"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常住人口城镇化率（%）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49.7</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582" w:type="pct"/>
            <w:vMerge w:val="continue"/>
            <w:tcBorders>
              <w:top w:val="nil"/>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p>
        </w:tc>
        <w:tc>
          <w:tcPr>
            <w:tcW w:w="865"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户籍人口城镇化率（%）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39.1</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旅游总收入（亿元）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92.85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文化产业增加值(亿元)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建成省级现代高效农业示范园区（个）</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建成万人以上重点小城镇（个）</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blHeader/>
        </w:trPr>
        <w:tc>
          <w:tcPr>
            <w:tcW w:w="633" w:type="pc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类 别</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指 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2020年目标值</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2020年预计</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科</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技</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创</w:t>
            </w:r>
          </w:p>
          <w:p>
            <w:pPr>
              <w:widowControl/>
              <w:ind w:firstLine="0" w:firstLineChars="0"/>
              <w:jc w:val="center"/>
              <w:rPr>
                <w:rFonts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新</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科技进步贡献率（%）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82.5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p>
            <w:pPr>
              <w:widowControl/>
              <w:spacing w:line="240" w:lineRule="atLeast"/>
              <w:ind w:firstLine="0" w:firstLineChars="0"/>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人才资源总量（万人）</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6.6</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7.66</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引进和培养专业技术人才（万人）</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[2.6]</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[2.1]</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全社会科技研发投入占GDP比重（%）</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1.5以上</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省级科技研发机构（个）</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基</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础</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设</w:t>
            </w:r>
          </w:p>
          <w:p>
            <w:pPr>
              <w:widowControl/>
              <w:ind w:firstLine="0" w:firstLineChars="0"/>
              <w:jc w:val="center"/>
              <w:rPr>
                <w:rFonts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施</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公路里程（公里）</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6700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ascii="仿宋_GB2312" w:hAnsi="仿宋_GB2312" w:eastAsia="仿宋_GB2312" w:cs="仿宋_GB2312"/>
                <w:color w:val="auto"/>
                <w:sz w:val="18"/>
                <w:szCs w:val="18"/>
              </w:rPr>
              <w:t>7500</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ascii="仿宋_GB2312" w:hAnsi="仿宋_GB2312" w:eastAsia="仿宋_GB2312" w:cs="仿宋_GB2312"/>
                <w:color w:val="auto"/>
                <w:sz w:val="18"/>
                <w:szCs w:val="18"/>
              </w:rPr>
              <w:t>111.94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其中：高速公路里程（公里）</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170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171</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100.5</w:t>
            </w:r>
            <w:r>
              <w:rPr>
                <w:rFonts w:hint="eastAsia" w:ascii="仿宋_GB2312" w:hAnsi="仿宋_GB2312" w:eastAsia="仿宋_GB2312" w:cs="仿宋_GB2312"/>
                <w:color w:val="auto"/>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铁路里程（公里）</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新建城市主干道（公里）</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12.69</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27.23</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水利工程设计供水能力</w:t>
            </w:r>
          </w:p>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（亿立方米）</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0.37</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电力总装机容量（万千瓦时）</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186</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行政村通油路率（%）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城镇供水能力（万吨／日）</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5.1</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7.1</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restart"/>
            <w:tcBorders>
              <w:top w:val="nil"/>
              <w:left w:val="single" w:color="auto" w:sz="4" w:space="0"/>
              <w:right w:val="single" w:color="auto" w:sz="4" w:space="0"/>
            </w:tcBorders>
            <w:vAlign w:val="center"/>
          </w:tcPr>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社</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会</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建</w:t>
            </w:r>
          </w:p>
          <w:p>
            <w:pPr>
              <w:widowControl/>
              <w:ind w:firstLine="0" w:firstLineChars="0"/>
              <w:jc w:val="center"/>
              <w:rPr>
                <w:rFonts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设</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人均预期寿命</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75.5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人口自然增长率（‰）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待市级反馈</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4.7</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九年义务教育巩固率（%）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98</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107.25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高中阶段毛入学率（%）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93.24</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学前三年毛入学率（%）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92以上</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93.62</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千人拥有卫生机构床位数（张）</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6以上</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6.55</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5岁以下儿童死亡率（‰）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12以内</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6.87</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类 别</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指 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2020年目标值</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2020年预计</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b/>
                <w:bCs/>
                <w:color w:val="auto"/>
                <w:sz w:val="24"/>
                <w:szCs w:val="24"/>
                <w:shd w:val="clear" w:color="auto" w:fill="FFFFFF"/>
                <w:lang w:val="en-US" w:eastAsia="zh-CN" w:bidi="ar-SA"/>
              </w:rPr>
            </w:pPr>
            <w:r>
              <w:rPr>
                <w:rFonts w:hint="eastAsia" w:ascii="仿宋_GB2312" w:hAnsi="仿宋_GB2312" w:eastAsia="仿宋_GB2312" w:cs="仿宋_GB2312"/>
                <w:b/>
                <w:bCs/>
                <w:color w:val="auto"/>
                <w:sz w:val="24"/>
                <w:szCs w:val="24"/>
              </w:rPr>
              <w:t>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restart"/>
            <w:tcBorders>
              <w:left w:val="single" w:color="auto" w:sz="4" w:space="0"/>
              <w:right w:val="single" w:color="auto" w:sz="4" w:space="0"/>
            </w:tcBorders>
            <w:vAlign w:val="center"/>
          </w:tcPr>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社</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会</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建</w:t>
            </w:r>
          </w:p>
          <w:p>
            <w:pPr>
              <w:widowControl/>
              <w:ind w:firstLine="0" w:firstLineChars="0"/>
              <w:jc w:val="center"/>
              <w:rPr>
                <w:rFonts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设</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人民群众安全感（%）</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95以上</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99.44</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城镇居民最低生活保障率（%）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农民最低生活保障率（%）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亿元生产总值安全事故死亡率（人/亿元）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0.0196</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restart"/>
            <w:tcBorders>
              <w:top w:val="nil"/>
              <w:left w:val="single" w:color="auto" w:sz="4" w:space="0"/>
              <w:bottom w:val="single" w:color="auto" w:sz="4" w:space="0"/>
              <w:right w:val="single" w:color="auto" w:sz="4" w:space="0"/>
            </w:tcBorders>
            <w:vAlign w:val="center"/>
          </w:tcPr>
          <w:p>
            <w:pPr>
              <w:widowControl/>
              <w:spacing w:line="600" w:lineRule="exact"/>
              <w:ind w:firstLine="0" w:firstLineChars="0"/>
              <w:jc w:val="center"/>
              <w:rPr>
                <w:rFonts w:ascii="仿宋_GB2312" w:hAnsi="仿宋_GB2312" w:eastAsia="仿宋_GB2312" w:cs="仿宋_GB2312"/>
                <w:b/>
                <w:bCs/>
                <w:color w:val="auto"/>
                <w:sz w:val="24"/>
                <w:szCs w:val="24"/>
              </w:rPr>
            </w:pP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生</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态</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环</w:t>
            </w:r>
          </w:p>
          <w:p>
            <w:pPr>
              <w:widowControl/>
              <w:ind w:firstLine="0" w:firstLineChars="0"/>
              <w:jc w:val="center"/>
              <w:rPr>
                <w:rFonts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境</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耕地保有量（万亩）</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119.35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123.12</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城市（县城）环境空气质量达标率（%）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98.6</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城镇污水处理率（%）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95.52</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城乡生活垃圾无害化处理率（%）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90以上</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93.27</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森林覆盖率（%）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62</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57.97</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林地面积（万亩）</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290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278</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城镇建成区绿化率（%）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36</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36</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单位生产总值能耗降低（%）</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-3.43%</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单位二氧化碳排放降低（%）</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待市级反馈</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民</w:t>
            </w:r>
          </w:p>
          <w:p>
            <w:pPr>
              <w:widowControl/>
              <w:ind w:firstLine="0" w:firstLineChars="0"/>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生</w:t>
            </w:r>
          </w:p>
          <w:p>
            <w:pPr>
              <w:widowControl/>
              <w:ind w:firstLine="0" w:firstLineChars="0"/>
              <w:jc w:val="center"/>
              <w:rPr>
                <w:rFonts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活</w:t>
            </w: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粮食总产量（万吨）</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26</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10</w:t>
            </w:r>
            <w:r>
              <w:rPr>
                <w:rFonts w:hint="eastAsia" w:ascii="仿宋_GB2312" w:hAnsi="仿宋_GB2312" w:eastAsia="仿宋_GB2312" w:cs="仿宋_GB2312"/>
                <w:color w:val="auto"/>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农村居民人均可支配收入（元）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14500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12846</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城镇居民人均可支配收入（元）</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38500</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36098</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城镇新增就业人数（万人）</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[5.1</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城镇登记失业率（%）</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4.5以内</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4以内</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贫困人口减少（万人）</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[4.6</w:t>
            </w:r>
            <w:r>
              <w:rPr>
                <w:rFonts w:hint="eastAsia" w:ascii="仿宋_GB2312" w:hAnsi="仿宋_GB2312" w:eastAsia="仿宋_GB2312" w:cs="仿宋_GB2312"/>
                <w:color w:val="auto"/>
                <w:sz w:val="18"/>
                <w:szCs w:val="18"/>
                <w:lang w:val="en-US" w:eastAsia="zh-CN"/>
              </w:rPr>
              <w:t>8</w:t>
            </w:r>
            <w:r>
              <w:rPr>
                <w:rFonts w:hint="eastAsia" w:ascii="仿宋_GB2312" w:hAnsi="仿宋_GB2312" w:eastAsia="仿宋_GB2312" w:cs="仿宋_GB2312"/>
                <w:color w:val="auto"/>
                <w:sz w:val="18"/>
                <w:szCs w:val="18"/>
              </w:rPr>
              <w:t>]</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14.72</w:t>
            </w:r>
            <w:r>
              <w:rPr>
                <w:rFonts w:hint="eastAsia" w:ascii="仿宋_GB2312" w:hAnsi="仿宋_GB2312" w:eastAsia="仿宋_GB2312" w:cs="仿宋_GB2312"/>
                <w:color w:val="auto"/>
                <w:sz w:val="18"/>
                <w:szCs w:val="18"/>
              </w:rPr>
              <w:t>]</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城镇保障性住房（万套）</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[1.29]</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33" w:type="pct"/>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b/>
                <w:bCs/>
                <w:color w:val="auto"/>
              </w:rPr>
            </w:pPr>
          </w:p>
        </w:tc>
        <w:tc>
          <w:tcPr>
            <w:tcW w:w="1448" w:type="pct"/>
            <w:gridSpan w:val="2"/>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实施易地扶贫搬迁数（万人）</w:t>
            </w:r>
          </w:p>
        </w:tc>
        <w:tc>
          <w:tcPr>
            <w:tcW w:w="1156"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[2.8]</w:t>
            </w:r>
          </w:p>
        </w:tc>
        <w:tc>
          <w:tcPr>
            <w:tcW w:w="923"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[2.8</w:t>
            </w:r>
            <w:r>
              <w:rPr>
                <w:rFonts w:hint="eastAsia" w:ascii="仿宋_GB2312" w:hAnsi="仿宋_GB2312" w:eastAsia="仿宋_GB2312" w:cs="仿宋_GB2312"/>
                <w:color w:val="auto"/>
                <w:sz w:val="18"/>
                <w:szCs w:val="18"/>
                <w:lang w:val="en-US" w:eastAsia="zh-CN"/>
              </w:rPr>
              <w:t>8</w:t>
            </w:r>
            <w:r>
              <w:rPr>
                <w:rFonts w:hint="eastAsia" w:ascii="仿宋_GB2312" w:hAnsi="仿宋_GB2312" w:eastAsia="仿宋_GB2312" w:cs="仿宋_GB2312"/>
                <w:color w:val="auto"/>
                <w:sz w:val="18"/>
                <w:szCs w:val="18"/>
              </w:rPr>
              <w:t>]</w:t>
            </w:r>
          </w:p>
        </w:tc>
        <w:tc>
          <w:tcPr>
            <w:tcW w:w="838" w:type="pct"/>
            <w:tcBorders>
              <w:top w:val="single" w:color="auto" w:sz="4" w:space="0"/>
              <w:left w:val="nil"/>
              <w:bottom w:val="single" w:color="auto" w:sz="4" w:space="0"/>
              <w:right w:val="single" w:color="auto" w:sz="4" w:space="0"/>
            </w:tcBorders>
            <w:vAlign w:val="center"/>
          </w:tcPr>
          <w:p>
            <w:pPr>
              <w:widowControl/>
              <w:spacing w:line="240" w:lineRule="atLeast"/>
              <w:ind w:firstLine="0" w:firstLine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102.</w:t>
            </w:r>
            <w:r>
              <w:rPr>
                <w:rFonts w:hint="eastAsia" w:ascii="仿宋_GB2312" w:hAnsi="仿宋_GB2312" w:eastAsia="仿宋_GB2312" w:cs="仿宋_GB2312"/>
                <w:color w:val="auto"/>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blHeader/>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注：[X]为五年累计数；“*”表示为控制在省、市下达指标范围内。</w:t>
            </w:r>
          </w:p>
        </w:tc>
      </w:tr>
    </w:tbl>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56" w:name="_Toc1553"/>
      <w:bookmarkStart w:id="57" w:name="_Toc707"/>
      <w:bookmarkStart w:id="58" w:name="_Toc21393"/>
      <w:bookmarkStart w:id="59" w:name="_Toc28218"/>
      <w:r>
        <w:rPr>
          <w:rFonts w:hint="eastAsia" w:ascii="方正小标宋简体" w:hAnsi="方正小标宋简体" w:eastAsia="方正小标宋简体" w:cs="方正小标宋简体"/>
          <w:b w:val="0"/>
          <w:bCs/>
          <w:sz w:val="32"/>
          <w:szCs w:val="32"/>
        </w:rPr>
        <w:t>第二章    明晰新形势，洞悉发展新环境</w:t>
      </w:r>
      <w:bookmarkEnd w:id="56"/>
      <w:bookmarkEnd w:id="57"/>
      <w:bookmarkEnd w:id="58"/>
    </w:p>
    <w:p>
      <w:pPr>
        <w:ind w:firstLine="560"/>
        <w:rPr>
          <w:rFonts w:ascii="仿宋_GB2312" w:hAnsi="仿宋_GB2312" w:eastAsia="仿宋_GB2312" w:cs="仿宋_GB2312"/>
        </w:rPr>
      </w:pPr>
      <w:r>
        <w:rPr>
          <w:rFonts w:hint="eastAsia" w:ascii="仿宋_GB2312" w:hAnsi="仿宋_GB2312" w:eastAsia="仿宋_GB2312" w:cs="仿宋_GB2312"/>
        </w:rPr>
        <w:t>准确分析“十四五”时期的国内外发展环境，努力化解各类挑战，积极把握发展机遇，是新时代推动习水经济社会高质量发展的重要前提。</w:t>
      </w:r>
    </w:p>
    <w:p>
      <w:pPr>
        <w:pStyle w:val="5"/>
        <w:jc w:val="center"/>
        <w:rPr>
          <w:rFonts w:ascii="仿宋_GB2312" w:hAnsi="仿宋_GB2312" w:eastAsia="仿宋_GB2312" w:cs="仿宋_GB2312"/>
          <w:b/>
          <w:bCs/>
          <w:sz w:val="32"/>
          <w:szCs w:val="32"/>
        </w:rPr>
      </w:pPr>
      <w:bookmarkStart w:id="60" w:name="_Toc22286"/>
      <w:bookmarkStart w:id="61" w:name="_Toc655"/>
      <w:bookmarkStart w:id="62" w:name="_Toc21704"/>
      <w:bookmarkStart w:id="63" w:name="_Toc7667"/>
      <w:r>
        <w:rPr>
          <w:rFonts w:hint="eastAsia" w:ascii="仿宋_GB2312" w:hAnsi="仿宋_GB2312" w:eastAsia="仿宋_GB2312" w:cs="仿宋_GB2312"/>
          <w:b/>
          <w:bCs/>
          <w:sz w:val="32"/>
          <w:szCs w:val="32"/>
        </w:rPr>
        <w:t>第一节   面临挑战</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b/>
          <w:bCs/>
        </w:rPr>
      </w:pPr>
      <w:r>
        <w:rPr>
          <w:rFonts w:hint="eastAsia" w:ascii="仿宋_GB2312" w:hAnsi="仿宋_GB2312" w:eastAsia="仿宋_GB2312" w:cs="仿宋_GB2312"/>
        </w:rPr>
        <w:t>“十四五”时期，面对新的发展环境和发展条件，要以战略眼光，积极主动适应新常态、把握新常态、引领新常态，灵活化解各类挑战。</w:t>
      </w:r>
    </w:p>
    <w:bookmarkEnd w:id="59"/>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发展环境较为严峻。</w:t>
      </w:r>
      <w:r>
        <w:rPr>
          <w:rFonts w:hint="eastAsia" w:ascii="仿宋_GB2312" w:hAnsi="仿宋_GB2312" w:eastAsia="仿宋_GB2312" w:cs="仿宋_GB2312"/>
        </w:rPr>
        <w:t>当前世界面临百年未有之大变局，全球经济仍处在国际金融危机后的深度调整期，大变局加速演变的特征更趋明显。同时，受全球疫情冲击，产业链供应链循环受阻，国际贸易投资萎缩，大宗商品市场动荡。国内结构性、体制性、周期性问题相互交织，“三期叠加”影响持续深化。消费、投资、出口下滑，就业压力显著加大，企业特别是民营企业、中小微企业困难凸显，金融等领域风险有所积聚，各级财政收支矛盾加剧。在此大背景下，我县保稳定促发展的压力很大，经济社会发展面临严峻挑战。</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产业升级任务艰巨。</w:t>
      </w:r>
      <w:r>
        <w:rPr>
          <w:rFonts w:hint="eastAsia" w:ascii="仿宋_GB2312" w:hAnsi="仿宋_GB2312" w:eastAsia="仿宋_GB2312" w:cs="仿宋_GB2312"/>
        </w:rPr>
        <w:t>我县产业发展的最大优势、最大潜力在酱香白酒和文化旅游，但发展的最大难点是如何推动这二大产业提质增量、转型升级。其中，白酒产业面临的难题是在做大总量的同时，如何实现绿色发展、智慧发展、品牌化发展和可持续发展。文化旅游产业面临的难题是如何引入龙头、打造亮点、优化模式、提升效益、扩大习水品牌影响力、实现由休闲观光旅游向深度文化体验游、康养度假游转变。</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改革任务较为繁重。</w:t>
      </w:r>
      <w:r>
        <w:rPr>
          <w:rFonts w:hint="eastAsia" w:ascii="仿宋_GB2312" w:hAnsi="仿宋_GB2312" w:eastAsia="仿宋_GB2312" w:cs="仿宋_GB2312"/>
        </w:rPr>
        <w:t>“十三五”时期，我县经济社会发展取得令人瞩目的成就，但在城市建设、生态环保、社会事业、开放创新、社会治理等方面存在</w:t>
      </w:r>
      <w:r>
        <w:rPr>
          <w:rFonts w:hint="eastAsia" w:ascii="仿宋_GB2312" w:hAnsi="仿宋_GB2312" w:eastAsia="仿宋_GB2312" w:cs="仿宋_GB2312"/>
          <w:lang w:eastAsia="zh-CN"/>
        </w:rPr>
        <w:t>差距</w:t>
      </w:r>
      <w:r>
        <w:rPr>
          <w:rFonts w:hint="eastAsia" w:ascii="仿宋_GB2312" w:hAnsi="仿宋_GB2312" w:eastAsia="仿宋_GB2312" w:cs="仿宋_GB2312"/>
        </w:rPr>
        <w:t>，主要原因是体制机制较为僵化，综合改革阻力过大。“十四五”时期，要实现既定的发展目标，我县将面临繁重的改革任务。</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周边区域竞争激烈。</w:t>
      </w:r>
      <w:r>
        <w:rPr>
          <w:rFonts w:hint="eastAsia" w:ascii="仿宋_GB2312" w:hAnsi="仿宋_GB2312" w:eastAsia="仿宋_GB2312" w:cs="仿宋_GB2312"/>
        </w:rPr>
        <w:t>“十三五”期间，我县加大与周边地区的合作力度，促进经济社会持续健康发展。因地处黔川渝结合部，我县与仁怀、桐梓、赤水、古蔺、合江、綦江等毗邻县市在自然资源、人文风情、生态建设、产业发展及其他领域方面，有众多的相似性。加之，遵义都市圈和仁怀副中心城市的发展，也会导致发展挤压，竞争进一步加剧。因此，未来在招商引资和高质量发展方面，我县将面临更加激烈的竞争。</w:t>
      </w:r>
    </w:p>
    <w:p>
      <w:pPr>
        <w:pStyle w:val="5"/>
        <w:jc w:val="center"/>
        <w:rPr>
          <w:rFonts w:ascii="仿宋_GB2312" w:hAnsi="仿宋_GB2312" w:eastAsia="仿宋_GB2312" w:cs="仿宋_GB2312"/>
          <w:b/>
          <w:bCs/>
          <w:sz w:val="32"/>
          <w:szCs w:val="32"/>
        </w:rPr>
      </w:pPr>
      <w:bookmarkStart w:id="64" w:name="_Toc3322"/>
      <w:bookmarkStart w:id="65" w:name="_Toc16277"/>
      <w:bookmarkStart w:id="66" w:name="_Toc7970"/>
      <w:bookmarkStart w:id="67" w:name="_Toc25793"/>
      <w:r>
        <w:rPr>
          <w:rFonts w:hint="eastAsia" w:ascii="仿宋_GB2312" w:hAnsi="仿宋_GB2312" w:eastAsia="仿宋_GB2312" w:cs="仿宋_GB2312"/>
          <w:b/>
          <w:bCs/>
          <w:sz w:val="32"/>
          <w:szCs w:val="32"/>
        </w:rPr>
        <w:t>第二节   发展机遇</w:t>
      </w:r>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60" w:lineRule="atLeast"/>
        <w:ind w:firstLine="560"/>
        <w:textAlignment w:val="auto"/>
        <w:rPr>
          <w:rFonts w:ascii="仿宋_GB2312" w:hAnsi="仿宋_GB2312" w:eastAsia="仿宋_GB2312" w:cs="仿宋_GB2312"/>
          <w:b/>
          <w:bCs/>
        </w:rPr>
      </w:pPr>
      <w:r>
        <w:rPr>
          <w:rFonts w:hint="eastAsia" w:ascii="仿宋_GB2312" w:hAnsi="仿宋_GB2312" w:eastAsia="仿宋_GB2312" w:cs="仿宋_GB2312"/>
        </w:rPr>
        <w:t>“十四五”期间，我县仍处于大有可为的重要战略机遇期，必须深刻认识战略机遇期内涵的特征变化，准确把握以下几个关键机遇：</w:t>
      </w:r>
    </w:p>
    <w:p>
      <w:pPr>
        <w:keepNext w:val="0"/>
        <w:keepLines w:val="0"/>
        <w:pageBreakBefore w:val="0"/>
        <w:widowControl w:val="0"/>
        <w:kinsoku/>
        <w:wordWrap/>
        <w:overflowPunct/>
        <w:topLinePunct w:val="0"/>
        <w:autoSpaceDE/>
        <w:autoSpaceDN/>
        <w:bidi w:val="0"/>
        <w:adjustRightInd/>
        <w:snapToGrid/>
        <w:spacing w:line="560" w:lineRule="atLeast"/>
        <w:ind w:firstLine="562"/>
        <w:textAlignment w:val="auto"/>
        <w:rPr>
          <w:rFonts w:ascii="仿宋_GB2312" w:hAnsi="仿宋_GB2312" w:eastAsia="仿宋_GB2312" w:cs="仿宋_GB2312"/>
        </w:rPr>
      </w:pPr>
      <w:r>
        <w:rPr>
          <w:rFonts w:hint="eastAsia" w:ascii="仿宋_GB2312" w:hAnsi="仿宋_GB2312" w:eastAsia="仿宋_GB2312" w:cs="仿宋_GB2312"/>
          <w:b/>
          <w:bCs/>
        </w:rPr>
        <w:t>国家重大战略实施带来发展机遇。</w:t>
      </w:r>
      <w:r>
        <w:rPr>
          <w:rFonts w:hint="eastAsia" w:ascii="仿宋_GB2312" w:hAnsi="仿宋_GB2312" w:eastAsia="仿宋_GB2312" w:cs="仿宋_GB2312"/>
        </w:rPr>
        <w:t>“十四五”期间，我县将面临“一带一路”建设带来的国际合作机遇；成渝经济圈建设带来的产业转移、基础设施、公共服务等外溢合作机遇；深入实施乡村振兴发展战略，打造贵州省特色乡村振兴示范县市的机遇；新型城镇化建设带来的城乡发展机遇；国家高度重视康养产业发展的机遇；国家新时代推进西部大开发的机遇，以及其他重大战略带来的发展机遇。尤其是成渝地区双城经济圈建设上升为国家战略，加快重塑经济布局，将进一步拓展习水发展的战略空间。</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国际国内循环为习水发展创造机遇</w:t>
      </w:r>
      <w:r>
        <w:rPr>
          <w:rFonts w:hint="eastAsia" w:ascii="仿宋_GB2312" w:hAnsi="仿宋_GB2312" w:eastAsia="仿宋_GB2312" w:cs="仿宋_GB2312"/>
        </w:rPr>
        <w:t>。2020年，中国政府举全国之力抗击新冠肺炎，取得阶段性胜利。在其他国家因疫情严重影响经济发展的情况下，中国成为产业链相对完善、生产能力相对稳定、投资风险相对较小的地区，无疑对全球产业转移具有较强吸引力。尤其是粤港澳大湾区、京津冀、长三角、成渝经济圈等重点地区，战略性新兴产业将会加速发展。同时，党中央提出构建“双循环”新发展格局，千方百计扩大内需，将进一步释放习水发展的战略动能。</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经济复苏系列政策利于习水发展。</w:t>
      </w:r>
      <w:r>
        <w:rPr>
          <w:rFonts w:hint="eastAsia" w:ascii="仿宋_GB2312" w:hAnsi="仿宋_GB2312" w:eastAsia="仿宋_GB2312" w:cs="仿宋_GB2312"/>
        </w:rPr>
        <w:t>为统筹疫情防控和经济发展，在持续抓好新冠肺炎防疫的同时，中央明确提出支持“两新一重”建设，并先后出台多项支持新基建投资、县城城镇化补短板强弱项、鼓励社会资本进入农业农村、减免相关税收的政策措施。这些政策的实施，将对我县“十四五”时期经济社会发展起到巨大的促进作用。</w:t>
      </w:r>
    </w:p>
    <w:p>
      <w:pPr>
        <w:pStyle w:val="9"/>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省市全力支持习水跨越式发展。</w:t>
      </w:r>
      <w:r>
        <w:rPr>
          <w:rFonts w:hint="eastAsia" w:ascii="仿宋_GB2312" w:hAnsi="仿宋_GB2312" w:eastAsia="仿宋_GB2312" w:cs="仿宋_GB2312"/>
          <w:sz w:val="28"/>
          <w:szCs w:val="28"/>
        </w:rPr>
        <w:t>“十四五”时期，是我国实现“两个一百年”奋斗目标的重要历史时期，也是习水乘势而上、再接再厉、接续努力，推进社会主义现代化建设的关键时期。省委、市委明确支持习水创建中国百强县和仁怀-习水-赤水黔边城市带建设，进一步凸显习水的战略地位，有利于加快</w:t>
      </w:r>
      <w:r>
        <w:rPr>
          <w:rFonts w:ascii="仿宋_GB2312" w:hAnsi="仿宋_GB2312" w:eastAsia="仿宋_GB2312" w:cs="仿宋_GB2312"/>
          <w:sz w:val="28"/>
          <w:szCs w:val="28"/>
        </w:rPr>
        <w:t>推动</w:t>
      </w:r>
      <w:r>
        <w:rPr>
          <w:rFonts w:hint="eastAsia" w:ascii="仿宋_GB2312" w:hAnsi="仿宋_GB2312" w:eastAsia="仿宋_GB2312" w:cs="仿宋_GB2312"/>
          <w:sz w:val="28"/>
          <w:szCs w:val="28"/>
        </w:rPr>
        <w:t>我县跨越式发展。</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消费升级带动文旅康养产业发展。</w:t>
      </w:r>
      <w:r>
        <w:rPr>
          <w:rFonts w:hint="eastAsia" w:ascii="仿宋_GB2312" w:hAnsi="仿宋_GB2312" w:eastAsia="仿宋_GB2312" w:cs="仿宋_GB2312"/>
        </w:rPr>
        <w:t>经济发展推动消费升级，广大消费者对休闲旅游、康养度假和健康食品的需求日益旺盛。我县拥有得天独厚的文化旅游资源，优质的酱酒资源和其他特色农产品，消费升级将为我县发展文旅康养产业带来良好的发展机遇，有利于促进我县打造黔川渝结合部县域旅居中心。</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仿宋_GB2312" w:hAnsi="仿宋_GB2312" w:eastAsia="仿宋_GB2312" w:cs="仿宋_GB2312"/>
        </w:rPr>
      </w:pPr>
      <w:r>
        <w:rPr>
          <w:rFonts w:hint="eastAsia" w:ascii="仿宋_GB2312" w:hAnsi="仿宋_GB2312" w:eastAsia="仿宋_GB2312" w:cs="仿宋_GB2312"/>
          <w:b/>
          <w:bCs/>
        </w:rPr>
        <w:t>产业政策调整有利于酱酒发展。</w:t>
      </w:r>
      <w:r>
        <w:rPr>
          <w:rFonts w:hint="eastAsia" w:ascii="仿宋_GB2312" w:hAnsi="仿宋_GB2312" w:eastAsia="仿宋_GB2312" w:cs="仿宋_GB2312"/>
        </w:rPr>
        <w:t>国家对白酒产业政策的调整，为充分释放优质白酒产能，促进酒类产品加快向充分和良性的市场竞争环境转变扫清了障碍。这对有着良好白酒产业基础和品牌效应的习水而言，是一个重要的历史机遇。</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68" w:name="_Toc23607"/>
      <w:bookmarkStart w:id="69" w:name="_Toc14026"/>
      <w:bookmarkStart w:id="70" w:name="_Toc14660"/>
      <w:r>
        <w:rPr>
          <w:rFonts w:hint="eastAsia" w:ascii="方正小标宋简体" w:hAnsi="方正小标宋简体" w:eastAsia="方正小标宋简体" w:cs="方正小标宋简体"/>
          <w:b w:val="0"/>
          <w:bCs/>
          <w:sz w:val="32"/>
          <w:szCs w:val="32"/>
        </w:rPr>
        <w:t xml:space="preserve">第三章    </w:t>
      </w:r>
      <w:bookmarkEnd w:id="10"/>
      <w:bookmarkEnd w:id="11"/>
      <w:bookmarkEnd w:id="12"/>
      <w:bookmarkEnd w:id="13"/>
      <w:r>
        <w:rPr>
          <w:rFonts w:hint="eastAsia" w:ascii="方正小标宋简体" w:hAnsi="方正小标宋简体" w:eastAsia="方正小标宋简体" w:cs="方正小标宋简体"/>
          <w:b w:val="0"/>
          <w:bCs/>
          <w:sz w:val="32"/>
          <w:szCs w:val="32"/>
        </w:rPr>
        <w:t>谋划“十四五”，描绘习水新</w:t>
      </w:r>
      <w:bookmarkEnd w:id="14"/>
      <w:r>
        <w:rPr>
          <w:rFonts w:hint="eastAsia" w:ascii="方正小标宋简体" w:hAnsi="方正小标宋简体" w:eastAsia="方正小标宋简体" w:cs="方正小标宋简体"/>
          <w:b w:val="0"/>
          <w:bCs/>
          <w:sz w:val="32"/>
          <w:szCs w:val="32"/>
        </w:rPr>
        <w:t>蓝图</w:t>
      </w:r>
      <w:bookmarkEnd w:id="68"/>
      <w:bookmarkEnd w:id="69"/>
      <w:bookmarkEnd w:id="70"/>
    </w:p>
    <w:p>
      <w:pPr>
        <w:ind w:firstLine="560"/>
        <w:rPr>
          <w:rFonts w:ascii="仿宋_GB2312" w:hAnsi="仿宋_GB2312" w:eastAsia="仿宋_GB2312" w:cs="仿宋_GB2312"/>
        </w:rPr>
      </w:pPr>
      <w:r>
        <w:rPr>
          <w:rFonts w:hint="eastAsia" w:ascii="仿宋_GB2312" w:hAnsi="仿宋_GB2312" w:eastAsia="仿宋_GB2312" w:cs="仿宋_GB2312"/>
        </w:rPr>
        <w:t>未来五年，全县必须立足自身优势，以更长远的眼光、更超前的思路、更紧迫的意识、更大胆的创新，开拓进取、主动作为，在新的起点上谋求大发展、实现大突破，努力开创习水经济社会发展新局面。</w:t>
      </w:r>
    </w:p>
    <w:p>
      <w:pPr>
        <w:pStyle w:val="5"/>
        <w:jc w:val="center"/>
        <w:rPr>
          <w:rFonts w:ascii="仿宋_GB2312" w:hAnsi="仿宋_GB2312" w:eastAsia="仿宋_GB2312" w:cs="仿宋_GB2312"/>
          <w:b/>
          <w:bCs/>
          <w:sz w:val="32"/>
          <w:szCs w:val="32"/>
        </w:rPr>
      </w:pPr>
      <w:bookmarkStart w:id="71" w:name="_Toc31392"/>
      <w:bookmarkStart w:id="72" w:name="_Toc26938"/>
      <w:bookmarkStart w:id="73" w:name="_Toc23498"/>
      <w:bookmarkStart w:id="74" w:name="_Toc17650"/>
      <w:r>
        <w:rPr>
          <w:rFonts w:hint="eastAsia" w:ascii="仿宋_GB2312" w:hAnsi="仿宋_GB2312" w:eastAsia="仿宋_GB2312" w:cs="仿宋_GB2312"/>
          <w:b/>
          <w:bCs/>
          <w:sz w:val="32"/>
          <w:szCs w:val="32"/>
        </w:rPr>
        <w:t>第一节   指导思想</w:t>
      </w:r>
      <w:bookmarkEnd w:id="71"/>
      <w:bookmarkEnd w:id="72"/>
      <w:bookmarkEnd w:id="73"/>
      <w:bookmarkEnd w:id="74"/>
    </w:p>
    <w:bookmarkEnd w:id="15"/>
    <w:p>
      <w:pPr>
        <w:pStyle w:val="9"/>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高举中国特色社会主义伟大旗帜，深入贯彻党的十九大和十九届二中、三中、四中、五中全会精神，坚持以习近平新时代中国特色社会主义思想为指导，全面贯彻党的基本理论、基本路线、基本方略,统筹推进“五位一体”总体布局，协调推进“四个全面”战略布局，立足新发展阶段，践行新发展理念，融入新发展格局，按照省委十二届八次全会、市委五届十次全会部署，以高质量发展统揽全局，守牢生态和发展两条底线，深入实施乡村振兴、大数据、大生态三大战略行动，大力推动新型工业化、新型城镇化、农业现代化、旅游产业化，按照遵义市建设红色传承引领地、绿色发展示范区、美丽幸福新遵义新定位，立足资源禀赋、发挥比较优势，坚持“酒旅并举·富民强县”发展战略，持续深化“七个习水”建设，提升高质量发展的“四大支撑”，向着创建中国百强县目标迈进，为全面建设社会主义现代化开好局、起好步。</w:t>
      </w:r>
    </w:p>
    <w:p>
      <w:pPr>
        <w:pStyle w:val="5"/>
        <w:jc w:val="center"/>
        <w:rPr>
          <w:rFonts w:ascii="仿宋_GB2312" w:hAnsi="仿宋_GB2312" w:eastAsia="仿宋_GB2312" w:cs="仿宋_GB2312"/>
          <w:b/>
          <w:bCs/>
          <w:sz w:val="32"/>
          <w:szCs w:val="32"/>
        </w:rPr>
      </w:pPr>
      <w:bookmarkStart w:id="75" w:name="_Toc446667210"/>
      <w:bookmarkStart w:id="76" w:name="_Toc12196"/>
      <w:bookmarkStart w:id="77" w:name="_Toc470854851"/>
      <w:bookmarkStart w:id="78" w:name="_Toc15383"/>
      <w:bookmarkStart w:id="79" w:name="_Toc24694"/>
      <w:bookmarkStart w:id="80" w:name="_Toc24989"/>
      <w:bookmarkStart w:id="81" w:name="_Toc12318"/>
      <w:bookmarkStart w:id="82" w:name="_Toc44085477"/>
      <w:r>
        <w:rPr>
          <w:rFonts w:hint="eastAsia" w:ascii="仿宋_GB2312" w:hAnsi="仿宋_GB2312" w:eastAsia="仿宋_GB2312" w:cs="仿宋_GB2312"/>
          <w:b/>
          <w:bCs/>
          <w:sz w:val="32"/>
          <w:szCs w:val="32"/>
        </w:rPr>
        <w:t xml:space="preserve">第二节   </w:t>
      </w:r>
      <w:bookmarkEnd w:id="75"/>
      <w:bookmarkEnd w:id="76"/>
      <w:bookmarkEnd w:id="77"/>
      <w:bookmarkStart w:id="83" w:name="_Toc16678"/>
      <w:r>
        <w:rPr>
          <w:rFonts w:hint="eastAsia" w:ascii="仿宋_GB2312" w:hAnsi="仿宋_GB2312" w:eastAsia="仿宋_GB2312" w:cs="仿宋_GB2312"/>
          <w:b/>
          <w:bCs/>
          <w:sz w:val="32"/>
          <w:szCs w:val="32"/>
        </w:rPr>
        <w:t>基本原则</w:t>
      </w:r>
      <w:bookmarkEnd w:id="78"/>
      <w:bookmarkEnd w:id="79"/>
      <w:bookmarkEnd w:id="80"/>
      <w:bookmarkEnd w:id="81"/>
    </w:p>
    <w:p>
      <w:pPr>
        <w:pageBreakBefore w:val="0"/>
        <w:widowControl w:val="0"/>
        <w:kinsoku/>
        <w:wordWrap/>
        <w:overflowPunct/>
        <w:topLinePunct w:val="0"/>
        <w:bidi w:val="0"/>
        <w:adjustRightInd/>
        <w:spacing w:line="500" w:lineRule="exact"/>
        <w:ind w:firstLine="560"/>
        <w:textAlignment w:val="auto"/>
        <w:rPr>
          <w:rFonts w:ascii="仿宋_GB2312" w:hAnsi="仿宋_GB2312" w:eastAsia="仿宋_GB2312" w:cs="仿宋_GB2312"/>
        </w:rPr>
      </w:pPr>
      <w:r>
        <w:rPr>
          <w:rFonts w:hint="eastAsia" w:ascii="仿宋_GB2312" w:hAnsi="仿宋_GB2312" w:eastAsia="仿宋_GB2312" w:cs="仿宋_GB2312"/>
        </w:rPr>
        <w:t>“十四五”时期，必须贯彻新理念，适应新常态，引领新发展</w:t>
      </w:r>
      <w:bookmarkEnd w:id="83"/>
      <w:r>
        <w:rPr>
          <w:rFonts w:hint="eastAsia" w:ascii="仿宋_GB2312" w:hAnsi="仿宋_GB2312" w:eastAsia="仿宋_GB2312" w:cs="仿宋_GB2312"/>
        </w:rPr>
        <w:t>，着力推动前瞻发展、突破发展、融合发展、开放发展、绿色发展，努力开创新时代习水发展的新局面。</w:t>
      </w:r>
    </w:p>
    <w:bookmarkEnd w:id="82"/>
    <w:p>
      <w:pPr>
        <w:pageBreakBefore w:val="0"/>
        <w:widowControl w:val="0"/>
        <w:kinsoku/>
        <w:wordWrap/>
        <w:overflowPunct/>
        <w:topLinePunct w:val="0"/>
        <w:bidi w:val="0"/>
        <w:adjustRightInd/>
        <w:spacing w:line="50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着眼全局前瞻发展。</w:t>
      </w:r>
      <w:r>
        <w:rPr>
          <w:rFonts w:hint="eastAsia" w:ascii="仿宋_GB2312" w:hAnsi="仿宋_GB2312" w:eastAsia="仿宋_GB2312" w:cs="仿宋_GB2312"/>
        </w:rPr>
        <w:t>总揽国内外政治、经济、科技发展环境和趋势，研究“十四五”时期省、遵义市面临的新时代、新阶段、新矛盾、新问题、新机遇和新挑战，把握党中央治国理政新思维，明确“十四五”规划新指引。结合我县发展实际，用前瞻性思维做好习水县“十四五”时期经济社会发展顶层设计。</w:t>
      </w:r>
    </w:p>
    <w:p>
      <w:pPr>
        <w:pageBreakBefore w:val="0"/>
        <w:widowControl w:val="0"/>
        <w:kinsoku/>
        <w:wordWrap/>
        <w:overflowPunct/>
        <w:topLinePunct w:val="0"/>
        <w:bidi w:val="0"/>
        <w:adjustRightInd/>
        <w:spacing w:line="50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发挥优势突破发展。</w:t>
      </w:r>
      <w:r>
        <w:rPr>
          <w:rFonts w:hint="eastAsia" w:ascii="仿宋_GB2312" w:hAnsi="仿宋_GB2312" w:eastAsia="仿宋_GB2312" w:cs="仿宋_GB2312"/>
        </w:rPr>
        <w:t>依托我县资源禀赋，紧紧抓住事关全县核心竞争力和持续发展动力的重点领域，坚持酒旅并举·富民强县的发展战略，发挥比较优势，实现重点突破，解决关键问题，开创新时代习水经济社会发展新局面。</w:t>
      </w:r>
    </w:p>
    <w:p>
      <w:pPr>
        <w:pageBreakBefore w:val="0"/>
        <w:widowControl w:val="0"/>
        <w:kinsoku/>
        <w:wordWrap/>
        <w:overflowPunct/>
        <w:topLinePunct w:val="0"/>
        <w:bidi w:val="0"/>
        <w:adjustRightInd/>
        <w:spacing w:line="500" w:lineRule="exact"/>
        <w:ind w:firstLine="562"/>
        <w:textAlignment w:val="auto"/>
        <w:rPr>
          <w:rFonts w:ascii="仿宋_GB2312" w:hAnsi="仿宋_GB2312" w:eastAsia="仿宋_GB2312" w:cs="仿宋_GB2312"/>
          <w:b/>
          <w:bCs/>
        </w:rPr>
      </w:pPr>
      <w:r>
        <w:rPr>
          <w:rFonts w:hint="eastAsia" w:ascii="仿宋_GB2312" w:hAnsi="仿宋_GB2312" w:eastAsia="仿宋_GB2312" w:cs="仿宋_GB2312"/>
          <w:b/>
          <w:bCs/>
        </w:rPr>
        <w:t>统筹推进融合发展。</w:t>
      </w:r>
      <w:r>
        <w:rPr>
          <w:rFonts w:hint="eastAsia" w:ascii="仿宋_GB2312" w:hAnsi="仿宋_GB2312" w:eastAsia="仿宋_GB2312" w:cs="仿宋_GB2312"/>
        </w:rPr>
        <w:t>遵循区域经济和城镇发展规律，科学谋划城乡发展，统筹兼顾新型工业化、新型城镇化、农业现代化、旅游产业化，着力推进产城融合、城乡融合、三产融合，加强产业园区与城镇建设、文旅康养产业发展与城镇建设融合，推动我县高质量发展。</w:t>
      </w:r>
    </w:p>
    <w:p>
      <w:pPr>
        <w:pageBreakBefore w:val="0"/>
        <w:widowControl w:val="0"/>
        <w:kinsoku/>
        <w:wordWrap/>
        <w:overflowPunct/>
        <w:topLinePunct w:val="0"/>
        <w:bidi w:val="0"/>
        <w:adjustRightInd/>
        <w:spacing w:line="50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推进创新开放发展。</w:t>
      </w:r>
      <w:r>
        <w:rPr>
          <w:rFonts w:hint="eastAsia" w:ascii="仿宋_GB2312" w:hAnsi="仿宋_GB2312" w:eastAsia="仿宋_GB2312" w:cs="仿宋_GB2312"/>
        </w:rPr>
        <w:t>坚持创新驱动，不断推动产业、业态、机制和管理模式创新，促进产业进步、城乡发展、民生改善、社会治理体系与治理能力提升。建立开放的经济合作体系，创新招商引资模式，扩大国内外合作，重点加强与川渝等周边地区合作，</w:t>
      </w:r>
      <w:r>
        <w:rPr>
          <w:rFonts w:hint="eastAsia" w:ascii="仿宋_GB2312" w:hAnsi="仿宋_GB2312" w:eastAsia="仿宋_GB2312" w:cs="仿宋_GB2312"/>
          <w:bCs/>
        </w:rPr>
        <w:t>积极</w:t>
      </w:r>
      <w:r>
        <w:rPr>
          <w:rFonts w:hint="eastAsia" w:ascii="仿宋_GB2312" w:hAnsi="仿宋_GB2312" w:eastAsia="仿宋_GB2312" w:cs="仿宋_GB2312"/>
        </w:rPr>
        <w:t>融入成渝经济圈。</w:t>
      </w:r>
    </w:p>
    <w:p>
      <w:pPr>
        <w:pageBreakBefore w:val="0"/>
        <w:widowControl w:val="0"/>
        <w:kinsoku/>
        <w:wordWrap/>
        <w:overflowPunct/>
        <w:topLinePunct w:val="0"/>
        <w:bidi w:val="0"/>
        <w:adjustRightInd/>
        <w:spacing w:line="50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优化生态绿色发展。</w:t>
      </w:r>
      <w:r>
        <w:rPr>
          <w:rFonts w:hint="eastAsia" w:ascii="仿宋_GB2312" w:hAnsi="仿宋_GB2312" w:eastAsia="仿宋_GB2312" w:cs="仿宋_GB2312"/>
        </w:rPr>
        <w:t>以赤水河、习水河和桐梓河等水源保护为重点，加强环境综合治理，大力实施大气、水、土壤污染防治行动计划，发展低碳循环经济，全面改善和优化生态环境，建设资源节约型、环境友好型社会，走生产发展、生活富裕、生态良好的绿色发展道路。</w:t>
      </w:r>
    </w:p>
    <w:p>
      <w:pPr>
        <w:pStyle w:val="5"/>
        <w:pageBreakBefore w:val="0"/>
        <w:widowControl w:val="0"/>
        <w:kinsoku/>
        <w:wordWrap/>
        <w:overflowPunct/>
        <w:topLinePunct w:val="0"/>
        <w:bidi w:val="0"/>
        <w:adjustRightInd/>
        <w:spacing w:line="500" w:lineRule="exact"/>
        <w:jc w:val="center"/>
        <w:textAlignment w:val="auto"/>
        <w:rPr>
          <w:rFonts w:ascii="仿宋_GB2312" w:hAnsi="仿宋_GB2312" w:eastAsia="仿宋_GB2312" w:cs="仿宋_GB2312"/>
          <w:b/>
          <w:bCs/>
          <w:sz w:val="32"/>
          <w:szCs w:val="32"/>
        </w:rPr>
      </w:pPr>
      <w:bookmarkStart w:id="84" w:name="_Toc14451"/>
      <w:bookmarkStart w:id="85" w:name="_Toc7892"/>
      <w:bookmarkStart w:id="86" w:name="_Toc27388"/>
      <w:bookmarkStart w:id="87" w:name="_Toc32665"/>
      <w:r>
        <w:rPr>
          <w:rFonts w:hint="eastAsia" w:ascii="仿宋_GB2312" w:hAnsi="仿宋_GB2312" w:eastAsia="仿宋_GB2312" w:cs="仿宋_GB2312"/>
          <w:b/>
          <w:bCs/>
          <w:sz w:val="32"/>
          <w:szCs w:val="32"/>
        </w:rPr>
        <w:t>第三节   战略定位</w:t>
      </w:r>
      <w:bookmarkEnd w:id="84"/>
      <w:bookmarkEnd w:id="85"/>
      <w:bookmarkEnd w:id="86"/>
      <w:bookmarkEnd w:id="87"/>
    </w:p>
    <w:p>
      <w:pPr>
        <w:pStyle w:val="9"/>
        <w:pageBreakBefore w:val="0"/>
        <w:widowControl w:val="0"/>
        <w:kinsoku/>
        <w:wordWrap/>
        <w:overflowPunct/>
        <w:topLinePunct w:val="0"/>
        <w:bidi w:val="0"/>
        <w:adjustRightInd/>
        <w:spacing w:line="500" w:lineRule="exact"/>
        <w:ind w:firstLine="560"/>
        <w:textAlignment w:val="auto"/>
        <w:rPr>
          <w:rFonts w:ascii="仿宋_GB2312" w:hAnsi="仿宋_GB2312" w:eastAsia="仿宋_GB2312" w:cs="仿宋_GB2312"/>
        </w:rPr>
      </w:pPr>
      <w:r>
        <w:rPr>
          <w:rFonts w:hint="eastAsia" w:ascii="仿宋_GB2312" w:hAnsi="仿宋_GB2312" w:eastAsia="仿宋_GB2312" w:cs="仿宋_GB2312"/>
          <w:sz w:val="28"/>
          <w:szCs w:val="28"/>
        </w:rPr>
        <w:t>“十四五”时期，我县要紧紧围绕稳增长，不断深化供给侧结构性改革，全面推动高质量发展，推动科技创新和体制机制创新双轮驱动，奋力谱写新时代习水发展的新篇章，实现打造世界优质酱香白酒核心区、中国山地康养度假示范区和全国优质农畜产品主产区的战略定位。</w:t>
      </w:r>
    </w:p>
    <w:p>
      <w:pPr>
        <w:spacing w:line="560" w:lineRule="exact"/>
        <w:ind w:firstLine="562"/>
        <w:rPr>
          <w:rFonts w:ascii="仿宋_GB2312" w:hAnsi="仿宋_GB2312" w:eastAsia="仿宋_GB2312" w:cs="仿宋_GB2312"/>
        </w:rPr>
      </w:pPr>
      <w:r>
        <w:rPr>
          <w:rFonts w:hint="eastAsia" w:ascii="仿宋_GB2312" w:hAnsi="仿宋_GB2312" w:eastAsia="仿宋_GB2312" w:cs="仿宋_GB2312"/>
          <w:b/>
          <w:bCs/>
        </w:rPr>
        <w:t>世界优质酱香白酒核心区。</w:t>
      </w:r>
      <w:r>
        <w:rPr>
          <w:rFonts w:hint="eastAsia" w:ascii="仿宋_GB2312" w:hAnsi="仿宋_GB2312" w:eastAsia="仿宋_GB2312" w:cs="仿宋_GB2312"/>
        </w:rPr>
        <w:t>充分发挥白酒产业比较优势，依托“中国酱香·赤水河谷”地域品牌，以供给侧结构性改革为主线，以市场需求为导向，以产业园区为平台，以服务茅台集团发展为重点，改进招商，调整结构，盘活存量，做大增量，扩大总量，提质增效，形成中高档酒并举、大中企业协调发展的格局，不断提升我县白酒产业的核心竞争力和综合实力，推动白酒工业经济高质量发展，努力将我县打造成为世界优质酱香白酒产业核心产区。</w:t>
      </w:r>
    </w:p>
    <w:p>
      <w:pPr>
        <w:spacing w:line="560" w:lineRule="exact"/>
        <w:ind w:firstLine="562"/>
        <w:rPr>
          <w:rFonts w:ascii="仿宋_GB2312" w:hAnsi="仿宋_GB2312" w:eastAsia="仿宋_GB2312" w:cs="仿宋_GB2312"/>
        </w:rPr>
      </w:pPr>
      <w:r>
        <w:rPr>
          <w:rFonts w:hint="eastAsia" w:ascii="仿宋_GB2312" w:hAnsi="仿宋_GB2312" w:eastAsia="仿宋_GB2312" w:cs="仿宋_GB2312"/>
          <w:b/>
          <w:bCs/>
        </w:rPr>
        <w:t>中国山地康养度假示范区。</w:t>
      </w:r>
      <w:r>
        <w:rPr>
          <w:rFonts w:hint="eastAsia" w:ascii="仿宋_GB2312" w:hAnsi="仿宋_GB2312" w:eastAsia="仿宋_GB2312" w:cs="仿宋_GB2312"/>
        </w:rPr>
        <w:t>立足我县丰富的酒文化、红色文化和山乡农耕文化资源，发挥生态优势、气候优势和毗邻成渝城市圈的区位优势，对接川渝地区避暑康养旅游市场，拓展全国休闲旅游和康养度假市场，大力发展休闲旅游和康养度假产业。按照</w:t>
      </w:r>
      <w:r>
        <w:rPr>
          <w:rFonts w:hint="eastAsia" w:ascii="仿宋_GB2312" w:hAnsi="仿宋_GB2312" w:eastAsia="仿宋_GB2312" w:cs="仿宋_GB2312"/>
          <w:b/>
          <w:bCs/>
          <w:u w:val="dotted"/>
        </w:rPr>
        <w:t>“产城互动、文旅融合、打造龙头、制造亮点、以点带面、提升品牌”</w:t>
      </w:r>
      <w:r>
        <w:rPr>
          <w:rFonts w:hint="eastAsia" w:ascii="仿宋_GB2312" w:hAnsi="仿宋_GB2312" w:eastAsia="仿宋_GB2312" w:cs="仿宋_GB2312"/>
        </w:rPr>
        <w:t>的发展思路，以习水县城为中心，以部分重点城镇为支撑，精心策划建设一批有重大带动作用的文旅康养度假亮点项目，完善旅游康养配套服务，优化旅游度假环境，加强对外营销宣传，打响习水文旅康养度假地品牌，将我县建设成为宜居、宜业、宜游、宜养的中国山地康养度假示范区。</w:t>
      </w:r>
    </w:p>
    <w:p>
      <w:pPr>
        <w:spacing w:line="560" w:lineRule="exact"/>
        <w:ind w:firstLine="562"/>
        <w:rPr>
          <w:rFonts w:ascii="仿宋_GB2312" w:hAnsi="仿宋_GB2312" w:eastAsia="仿宋_GB2312" w:cs="仿宋_GB2312"/>
        </w:rPr>
      </w:pPr>
      <w:r>
        <w:rPr>
          <w:rFonts w:hint="eastAsia" w:ascii="仿宋_GB2312" w:hAnsi="仿宋_GB2312" w:eastAsia="仿宋_GB2312" w:cs="仿宋_GB2312"/>
          <w:b/>
          <w:bCs/>
        </w:rPr>
        <w:t>全国优质农畜产品主产区。</w:t>
      </w:r>
      <w:r>
        <w:rPr>
          <w:rFonts w:hint="eastAsia" w:ascii="仿宋_GB2312" w:hAnsi="仿宋_GB2312" w:eastAsia="仿宋_GB2312" w:cs="仿宋_GB2312"/>
        </w:rPr>
        <w:t>抢抓国家实施乡村振兴发展战略的重大机遇，利用我县资源禀赋，坚持“突破发展粱和羊、稳定发展猪和牛、统筹发展家禽和蔬菜”的总体思路，推进由“量”向“链”的全面转型。以特色农产品为抓手，以拓展产业链为重点，以推进乡村振兴为主攻方向，积极推动农业产业革命，将</w:t>
      </w:r>
      <w:bookmarkStart w:id="88" w:name="_Toc467486720"/>
      <w:r>
        <w:rPr>
          <w:rFonts w:hint="eastAsia" w:ascii="仿宋_GB2312" w:hAnsi="仿宋_GB2312" w:eastAsia="仿宋_GB2312" w:cs="仿宋_GB2312"/>
        </w:rPr>
        <w:t>我县建成全省</w:t>
      </w:r>
      <w:bookmarkEnd w:id="88"/>
      <w:r>
        <w:rPr>
          <w:rFonts w:hint="eastAsia" w:ascii="仿宋_GB2312" w:hAnsi="仿宋_GB2312" w:eastAsia="仿宋_GB2312" w:cs="仿宋_GB2312"/>
        </w:rPr>
        <w:t>生态畜牧业第一大县</w:t>
      </w:r>
      <w:bookmarkStart w:id="89" w:name="_Toc467486721"/>
      <w:r>
        <w:rPr>
          <w:rFonts w:hint="eastAsia" w:ascii="仿宋_GB2312" w:hAnsi="仿宋_GB2312" w:eastAsia="仿宋_GB2312" w:cs="仿宋_GB2312"/>
        </w:rPr>
        <w:t>、全国生态循环有机农业试验示范县</w:t>
      </w:r>
      <w:bookmarkEnd w:id="89"/>
      <w:r>
        <w:rPr>
          <w:rFonts w:hint="eastAsia" w:ascii="仿宋_GB2312" w:hAnsi="仿宋_GB2312" w:eastAsia="仿宋_GB2312" w:cs="仿宋_GB2312"/>
        </w:rPr>
        <w:t>、全国优质农畜产品主产区。</w:t>
      </w:r>
      <w:bookmarkStart w:id="90" w:name="_Toc27936"/>
      <w:bookmarkStart w:id="91" w:name="_Toc10353"/>
      <w:bookmarkStart w:id="92" w:name="_Toc446667211"/>
      <w:bookmarkStart w:id="93" w:name="_Toc2870"/>
      <w:bookmarkStart w:id="94" w:name="_Toc24092"/>
      <w:bookmarkStart w:id="95" w:name="_Toc470854852"/>
    </w:p>
    <w:p>
      <w:pPr>
        <w:pStyle w:val="5"/>
        <w:jc w:val="center"/>
        <w:rPr>
          <w:rFonts w:ascii="仿宋_GB2312" w:hAnsi="仿宋_GB2312" w:eastAsia="仿宋_GB2312" w:cs="仿宋_GB2312"/>
          <w:b/>
          <w:bCs/>
          <w:sz w:val="32"/>
          <w:szCs w:val="32"/>
        </w:rPr>
      </w:pPr>
      <w:bookmarkStart w:id="96" w:name="_Toc22812"/>
      <w:r>
        <w:rPr>
          <w:rFonts w:hint="eastAsia" w:ascii="仿宋_GB2312" w:hAnsi="仿宋_GB2312" w:eastAsia="仿宋_GB2312" w:cs="仿宋_GB2312"/>
          <w:b/>
          <w:bCs/>
          <w:sz w:val="32"/>
          <w:szCs w:val="32"/>
        </w:rPr>
        <w:t>第四节   发展目标</w:t>
      </w:r>
      <w:bookmarkEnd w:id="90"/>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10" w:lineRule="exact"/>
        <w:ind w:firstLine="560"/>
        <w:textAlignment w:val="auto"/>
        <w:rPr>
          <w:rFonts w:ascii="仿宋_GB2312" w:hAnsi="仿宋_GB2312" w:eastAsia="仿宋_GB2312" w:cs="仿宋_GB2312"/>
        </w:rPr>
      </w:pPr>
      <w:r>
        <w:rPr>
          <w:rFonts w:hint="eastAsia" w:ascii="仿宋_GB2312" w:hAnsi="仿宋_GB2312" w:eastAsia="仿宋_GB2312" w:cs="仿宋_GB2312"/>
        </w:rPr>
        <w:t>立足我县发展实际和基础条件，综合考虑未来发展趋势和环境，确定今后五年经济社会发展的主要目标为：</w:t>
      </w:r>
    </w:p>
    <w:p>
      <w:pPr>
        <w:pStyle w:val="9"/>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——经济发展实现新跨越。</w:t>
      </w:r>
      <w:r>
        <w:rPr>
          <w:rFonts w:hint="eastAsia" w:ascii="仿宋_GB2312" w:hAnsi="仿宋_GB2312" w:eastAsia="仿宋_GB2312" w:cs="仿宋_GB2312"/>
          <w:sz w:val="28"/>
          <w:szCs w:val="28"/>
        </w:rPr>
        <w:t>在保证质量和效益的前提下,继续保持两位数以上的较快增长，地区生产总值突破400亿元、力争达到500亿元，人均GDP达到7.6万元以上，财政总收入超过100亿元。“酒旅并举·富民强县”发展战略取得新的重大突破，白酒产能突破20万千升、实现产值380亿元，建成名副其实的黔川渝结合部县域旅居中心，常住人口城镇化率达到54.7%，实现“撤县设市”。现代山地特色高效农业加快发展，巩固贵州省生态畜牧业第一大县地位，创建国家现代农业产业园。</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——开放创新取得新突破。</w:t>
      </w:r>
      <w:r>
        <w:rPr>
          <w:rFonts w:hint="eastAsia" w:ascii="仿宋_GB2312" w:hAnsi="仿宋_GB2312" w:eastAsia="仿宋_GB2312" w:cs="仿宋_GB2312"/>
        </w:rPr>
        <w:t>全面深化改革在重点领域和关键环节取得突破性成果，制度性交易成本明显降低，公平竞争制度更加健全，市场主体创新活力迸发。对外开放广度和深度不断拓展，招商引资取得重大进展，营商环境显著改善，面向成渝经济圈的高水平开放型经济新体制基本形成。</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——社会文明得到新提高。</w:t>
      </w:r>
      <w:r>
        <w:rPr>
          <w:rFonts w:hint="eastAsia" w:ascii="仿宋_GB2312" w:hAnsi="仿宋_GB2312" w:eastAsia="仿宋_GB2312" w:cs="仿宋_GB2312"/>
        </w:rPr>
        <w:t>红色基因广泛传承，四渡赤水精神得到弘扬发展，社会主义核心价值观深入人心，文化设施建设不断完善，公共文化服务水平显著提升，文化产业体系不断健全，文化和旅游深度融合发展，成功创建全国文明县级城市。</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——生态建设结出新硕果。</w:t>
      </w:r>
      <w:r>
        <w:rPr>
          <w:rFonts w:hint="eastAsia" w:ascii="仿宋_GB2312" w:hAnsi="仿宋_GB2312" w:eastAsia="仿宋_GB2312" w:cs="仿宋_GB2312"/>
        </w:rPr>
        <w:t>生产生活方式绿色转型成效显著，能源资源利用效率大幅提高，主要污染物排放总量持续减少，环境突出问题得到有效治理，生态文明制度体系不断健全，生态环境持续改善，城乡人居环境更加优美，赤水河流域生态环境保护取得显著成效，成功创建“两山”理论实践创新基地。</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——民生福祉达到新水平。</w:t>
      </w:r>
      <w:r>
        <w:rPr>
          <w:rFonts w:hint="eastAsia" w:ascii="仿宋_GB2312" w:hAnsi="仿宋_GB2312" w:eastAsia="仿宋_GB2312" w:cs="仿宋_GB2312"/>
        </w:rPr>
        <w:t>城乡居民收入与地区生产总值同步增长，创业就业实现更高质量更高水平，优质教育资源和医疗资源供给力度持续加大，社会保障体系更为完善，公共卫生服务体系更为健全，脱贫攻坚成果持续巩固拓展，群众生活水平明显提高、幸福感明显增强。</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——社会治理获得新提升。</w:t>
      </w:r>
      <w:r>
        <w:rPr>
          <w:rFonts w:hint="eastAsia" w:ascii="仿宋_GB2312" w:hAnsi="仿宋_GB2312" w:eastAsia="仿宋_GB2312" w:cs="仿宋_GB2312"/>
        </w:rPr>
        <w:t>社会主义民主法治更加健全，社会公平正义进一步彰显，政府行政效率和公信力显著提升，防范化解重大风险体制机制不断健全，突发公共事件应急能力显著增强，自然灾害防御水平明显提升，发展安全保障更加有力，平安习水建设迈出重大步伐。</w:t>
      </w:r>
    </w:p>
    <w:p>
      <w:pPr>
        <w:pStyle w:val="5"/>
        <w:jc w:val="center"/>
        <w:rPr>
          <w:rFonts w:hint="eastAsia" w:ascii="仿宋_GB2312" w:hAnsi="仿宋_GB2312" w:eastAsia="仿宋_GB2312" w:cs="仿宋_GB2312"/>
          <w:b/>
          <w:bCs/>
          <w:sz w:val="32"/>
          <w:szCs w:val="32"/>
        </w:rPr>
      </w:pPr>
      <w:bookmarkStart w:id="97" w:name="_Toc17554"/>
      <w:r>
        <w:rPr>
          <w:rFonts w:hint="eastAsia" w:ascii="仿宋_GB2312" w:hAnsi="仿宋_GB2312" w:eastAsia="仿宋_GB2312" w:cs="仿宋_GB2312"/>
          <w:b/>
          <w:bCs/>
          <w:sz w:val="32"/>
          <w:szCs w:val="32"/>
        </w:rPr>
        <w:t>第五节   2035年远景目标</w:t>
      </w:r>
      <w:bookmarkEnd w:id="97"/>
    </w:p>
    <w:p>
      <w:pPr>
        <w:pStyle w:val="9"/>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望2035年，我县在跻身中国百强县的基础上，将与全国一道基本实现社会主义现代化。经济实力大幅跃升，人均地区生产总值达到两万美元左右；基本实现新型工业化、新型城镇化、农业现代化、旅游产业化，建成现代化经济体系；国民素质和社会文明程度达到新高度，文化软实力显著增强；广泛形成绿色生产生活方式，生态文明建设达到更高水平，长江上游重要生态屏障全面筑牢；基本公共服务、基础设施通达程度达到东部地区平均水平，基本实现治理体系和治理能力现代化，各项发展高于东部平均水平。</w:t>
      </w:r>
    </w:p>
    <w:tbl>
      <w:tblPr>
        <w:tblStyle w:val="14"/>
        <w:tblW w:w="5205" w:type="pct"/>
        <w:jc w:val="center"/>
        <w:tblLayout w:type="fixed"/>
        <w:tblCellMar>
          <w:top w:w="0" w:type="dxa"/>
          <w:left w:w="0" w:type="dxa"/>
          <w:bottom w:w="0" w:type="dxa"/>
          <w:right w:w="0" w:type="dxa"/>
        </w:tblCellMar>
      </w:tblPr>
      <w:tblGrid>
        <w:gridCol w:w="695"/>
        <w:gridCol w:w="2119"/>
        <w:gridCol w:w="1846"/>
        <w:gridCol w:w="1896"/>
        <w:gridCol w:w="1241"/>
        <w:gridCol w:w="882"/>
      </w:tblGrid>
      <w:tr>
        <w:tblPrEx>
          <w:tblCellMar>
            <w:top w:w="0" w:type="dxa"/>
            <w:left w:w="0" w:type="dxa"/>
            <w:bottom w:w="0" w:type="dxa"/>
            <w:right w:w="0" w:type="dxa"/>
          </w:tblCellMar>
        </w:tblPrEx>
        <w:trPr>
          <w:trHeight w:val="630" w:hRule="atLeast"/>
          <w:jc w:val="center"/>
        </w:trPr>
        <w:tc>
          <w:tcPr>
            <w:tcW w:w="5000" w:type="pct"/>
            <w:gridSpan w:val="6"/>
            <w:tcBorders>
              <w:top w:val="nil"/>
              <w:left w:val="nil"/>
              <w:bottom w:val="single" w:color="auto" w:sz="4" w:space="0"/>
              <w:right w:val="nil"/>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 w:val="24"/>
              </w:rPr>
            </w:pPr>
            <w:r>
              <w:rPr>
                <w:rFonts w:hint="eastAsia" w:ascii="仿宋_GB2312" w:hAnsi="仿宋_GB2312" w:eastAsia="仿宋_GB2312" w:cs="仿宋_GB2312"/>
                <w:b/>
                <w:sz w:val="24"/>
                <w:szCs w:val="24"/>
                <w:lang w:bidi="ar"/>
              </w:rPr>
              <w:t xml:space="preserve">  专栏2：习水县“十四五”经济社会发展主要指标</w:t>
            </w:r>
          </w:p>
        </w:tc>
      </w:tr>
      <w:tr>
        <w:tblPrEx>
          <w:tblCellMar>
            <w:top w:w="0" w:type="dxa"/>
            <w:left w:w="0" w:type="dxa"/>
            <w:bottom w:w="0" w:type="dxa"/>
            <w:right w:w="0" w:type="dxa"/>
          </w:tblCellMar>
        </w:tblPrEx>
        <w:trPr>
          <w:trHeight w:val="645"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1"/>
                <w:szCs w:val="21"/>
                <w:lang w:bidi="ar"/>
              </w:rPr>
              <w:t>类别</w:t>
            </w: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1"/>
                <w:szCs w:val="21"/>
                <w:lang w:bidi="ar"/>
              </w:rPr>
              <w:t>指 标</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1"/>
                <w:szCs w:val="21"/>
                <w:lang w:bidi="ar"/>
              </w:rPr>
              <w:t>2020年预计</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1"/>
                <w:szCs w:val="21"/>
                <w:lang w:bidi="ar"/>
              </w:rPr>
              <w:t>2025年规划</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Style w:val="27"/>
                <w:rFonts w:ascii="仿宋_GB2312" w:hAnsi="仿宋_GB2312" w:eastAsia="仿宋_GB2312" w:cs="仿宋_GB2312"/>
                <w:color w:val="auto"/>
                <w:lang w:bidi="ar"/>
              </w:rPr>
            </w:pPr>
            <w:r>
              <w:rPr>
                <w:rStyle w:val="27"/>
                <w:rFonts w:hint="eastAsia" w:ascii="仿宋_GB2312" w:hAnsi="仿宋_GB2312" w:eastAsia="仿宋_GB2312" w:cs="仿宋_GB2312"/>
                <w:color w:val="auto"/>
                <w:lang w:bidi="ar"/>
              </w:rPr>
              <w:t>年均增长</w:t>
            </w:r>
          </w:p>
          <w:p>
            <w:pPr>
              <w:widowControl/>
              <w:spacing w:line="240" w:lineRule="atLeast"/>
              <w:ind w:firstLine="0" w:firstLineChars="0"/>
              <w:jc w:val="center"/>
              <w:textAlignment w:val="center"/>
              <w:rPr>
                <w:rFonts w:ascii="仿宋_GB2312" w:hAnsi="仿宋_GB2312" w:eastAsia="仿宋_GB2312" w:cs="仿宋_GB2312"/>
                <w:b/>
                <w:szCs w:val="21"/>
              </w:rPr>
            </w:pPr>
            <w:r>
              <w:rPr>
                <w:rStyle w:val="27"/>
                <w:rFonts w:hint="eastAsia" w:ascii="仿宋_GB2312" w:hAnsi="仿宋_GB2312" w:eastAsia="仿宋_GB2312" w:cs="仿宋_GB2312"/>
                <w:color w:val="auto"/>
                <w:lang w:bidi="ar"/>
              </w:rPr>
              <w:t>（</w:t>
            </w:r>
            <w:r>
              <w:rPr>
                <w:rStyle w:val="28"/>
                <w:rFonts w:hint="eastAsia" w:ascii="仿宋_GB2312" w:hAnsi="仿宋_GB2312" w:eastAsia="仿宋_GB2312" w:cs="仿宋_GB2312"/>
                <w:color w:val="auto"/>
                <w:lang w:bidi="ar"/>
              </w:rPr>
              <w:t>%</w:t>
            </w:r>
            <w:r>
              <w:rPr>
                <w:rStyle w:val="27"/>
                <w:rFonts w:hint="eastAsia" w:ascii="仿宋_GB2312" w:hAnsi="仿宋_GB2312" w:eastAsia="仿宋_GB2312" w:cs="仿宋_GB2312"/>
                <w:color w:val="auto"/>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1"/>
                <w:szCs w:val="21"/>
                <w:lang w:bidi="ar"/>
              </w:rPr>
              <w:t>属性</w:t>
            </w:r>
          </w:p>
        </w:tc>
      </w:tr>
      <w:tr>
        <w:tblPrEx>
          <w:tblCellMar>
            <w:top w:w="0" w:type="dxa"/>
            <w:left w:w="0" w:type="dxa"/>
            <w:bottom w:w="0" w:type="dxa"/>
            <w:right w:w="0" w:type="dxa"/>
          </w:tblCellMar>
        </w:tblPrEx>
        <w:trPr>
          <w:trHeight w:val="539" w:hRule="atLeast"/>
          <w:jc w:val="center"/>
        </w:trPr>
        <w:tc>
          <w:tcPr>
            <w:tcW w:w="400"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经        济        增        长</w:t>
            </w: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1、地区生产总值（亿元）</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204.5</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405</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12</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452"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第一产业（亿元）</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35.5</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75.96</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7</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481"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第二产业（亿元）</w:t>
            </w:r>
          </w:p>
        </w:tc>
        <w:tc>
          <w:tcPr>
            <w:tcW w:w="106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90.5</w:t>
            </w:r>
          </w:p>
        </w:tc>
        <w:tc>
          <w:tcPr>
            <w:tcW w:w="109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197.52</w:t>
            </w:r>
          </w:p>
        </w:tc>
        <w:tc>
          <w:tcPr>
            <w:tcW w:w="71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16.5</w:t>
            </w:r>
          </w:p>
        </w:tc>
        <w:tc>
          <w:tcPr>
            <w:tcW w:w="50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0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规模以上工业增加值</w:t>
            </w:r>
          </w:p>
          <w:p>
            <w:pPr>
              <w:widowControl/>
              <w:spacing w:line="240" w:lineRule="atLeast"/>
              <w:ind w:firstLine="0" w:firstLineChars="0"/>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（亿元）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bidi="ar"/>
              </w:rPr>
              <w:t>140.8</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286</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560" w:hRule="atLeast"/>
          <w:jc w:val="center"/>
        </w:trPr>
        <w:tc>
          <w:tcPr>
            <w:tcW w:w="400" w:type="pct"/>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第三产业（亿元）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78.5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131.75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9.5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560" w:hRule="atLeast"/>
          <w:jc w:val="center"/>
        </w:trPr>
        <w:tc>
          <w:tcPr>
            <w:tcW w:w="40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类别</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指 标</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2020年预计</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2025年规划</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Style w:val="27"/>
                <w:rFonts w:ascii="仿宋_GB2312" w:hAnsi="仿宋_GB2312" w:eastAsia="仿宋_GB2312" w:cs="仿宋_GB2312"/>
                <w:color w:val="auto"/>
                <w:lang w:bidi="ar"/>
              </w:rPr>
            </w:pPr>
            <w:r>
              <w:rPr>
                <w:rStyle w:val="27"/>
                <w:rFonts w:hint="eastAsia" w:ascii="仿宋_GB2312" w:hAnsi="仿宋_GB2312" w:eastAsia="仿宋_GB2312" w:cs="仿宋_GB2312"/>
                <w:color w:val="auto"/>
                <w:lang w:bidi="ar"/>
              </w:rPr>
              <w:t>年均增长</w:t>
            </w:r>
          </w:p>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Style w:val="27"/>
                <w:rFonts w:hint="eastAsia" w:ascii="仿宋_GB2312" w:hAnsi="仿宋_GB2312" w:eastAsia="仿宋_GB2312" w:cs="仿宋_GB2312"/>
                <w:color w:val="auto"/>
                <w:lang w:bidi="ar"/>
              </w:rPr>
              <w:t>（</w:t>
            </w:r>
            <w:r>
              <w:rPr>
                <w:rStyle w:val="28"/>
                <w:rFonts w:hint="eastAsia" w:ascii="仿宋_GB2312" w:hAnsi="仿宋_GB2312" w:eastAsia="仿宋_GB2312" w:cs="仿宋_GB2312"/>
                <w:color w:val="auto"/>
                <w:lang w:bidi="ar"/>
              </w:rPr>
              <w:t>%</w:t>
            </w:r>
            <w:r>
              <w:rPr>
                <w:rStyle w:val="27"/>
                <w:rFonts w:hint="eastAsia" w:ascii="仿宋_GB2312" w:hAnsi="仿宋_GB2312" w:eastAsia="仿宋_GB2312" w:cs="仿宋_GB2312"/>
                <w:color w:val="auto"/>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属性</w:t>
            </w:r>
          </w:p>
        </w:tc>
      </w:tr>
      <w:tr>
        <w:tblPrEx>
          <w:tblCellMar>
            <w:top w:w="0" w:type="dxa"/>
            <w:left w:w="0" w:type="dxa"/>
            <w:bottom w:w="0" w:type="dxa"/>
            <w:right w:w="0" w:type="dxa"/>
          </w:tblCellMar>
        </w:tblPrEx>
        <w:trPr>
          <w:trHeight w:val="630" w:hRule="atLeast"/>
          <w:jc w:val="center"/>
        </w:trPr>
        <w:tc>
          <w:tcPr>
            <w:tcW w:w="400" w:type="pct"/>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经        济        增        长</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2、人均地区生产总值（元）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39962</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76458</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60" w:hRule="atLeast"/>
          <w:jc w:val="center"/>
        </w:trPr>
        <w:tc>
          <w:tcPr>
            <w:tcW w:w="400" w:type="pct"/>
            <w:vMerge w:val="continue"/>
            <w:tcBorders>
              <w:left w:val="single" w:color="auto"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3、一般公共预算收入（亿元）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bidi="ar"/>
              </w:rPr>
              <w:t>14.6</w:t>
            </w:r>
            <w:r>
              <w:rPr>
                <w:rFonts w:hint="eastAsia" w:ascii="仿宋_GB2312" w:hAnsi="仿宋_GB2312" w:eastAsia="仿宋_GB2312" w:cs="仿宋_GB2312"/>
                <w:sz w:val="18"/>
                <w:szCs w:val="18"/>
                <w:lang w:val="en-US" w:eastAsia="zh-CN" w:bidi="ar"/>
              </w:rPr>
              <w:t>8</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11.36</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585" w:hRule="atLeast"/>
          <w:jc w:val="center"/>
        </w:trPr>
        <w:tc>
          <w:tcPr>
            <w:tcW w:w="400" w:type="pct"/>
            <w:vMerge w:val="continue"/>
            <w:tcBorders>
              <w:left w:val="single" w:color="auto"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4、固定资产投资</w:t>
            </w:r>
          </w:p>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（亿元）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bidi="ar"/>
              </w:rPr>
              <w:t>210</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378</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12</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20" w:hRule="atLeast"/>
          <w:jc w:val="center"/>
        </w:trPr>
        <w:tc>
          <w:tcPr>
            <w:tcW w:w="400" w:type="pct"/>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5、社会消费品零售总额（亿元）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33.8</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60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12</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00" w:hRule="atLeast"/>
          <w:jc w:val="center"/>
        </w:trPr>
        <w:tc>
          <w:tcPr>
            <w:tcW w:w="40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转        型        升        级</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6、常住人口城镇化率（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bidi="ar"/>
              </w:rPr>
              <w:t>49.</w:t>
            </w:r>
            <w:r>
              <w:rPr>
                <w:rFonts w:hint="eastAsia" w:ascii="仿宋_GB2312" w:hAnsi="仿宋_GB2312" w:eastAsia="仿宋_GB2312" w:cs="仿宋_GB2312"/>
                <w:sz w:val="18"/>
                <w:szCs w:val="18"/>
                <w:lang w:val="en-US" w:eastAsia="zh-CN" w:bidi="ar"/>
              </w:rPr>
              <w:t>7</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54.7</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540"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7、一二三产业比重（</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bidi="ar"/>
              </w:rPr>
              <w:t>17.35:44.25:38.3</w:t>
            </w:r>
            <w:r>
              <w:rPr>
                <w:rFonts w:hint="eastAsia" w:ascii="仿宋_GB2312" w:hAnsi="仿宋_GB2312" w:eastAsia="仿宋_GB2312" w:cs="仿宋_GB2312"/>
                <w:sz w:val="18"/>
                <w:szCs w:val="18"/>
                <w:lang w:val="en-US" w:eastAsia="zh-CN" w:bidi="ar"/>
              </w:rPr>
              <w:t>8</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18.7</w:t>
            </w:r>
            <w:r>
              <w:rPr>
                <w:rFonts w:hint="eastAsia" w:ascii="仿宋_GB2312" w:hAnsi="仿宋_GB2312" w:eastAsia="仿宋_GB2312" w:cs="仿宋_GB2312"/>
                <w:color w:val="auto"/>
                <w:sz w:val="18"/>
                <w:szCs w:val="18"/>
                <w:lang w:val="en-US" w:eastAsia="zh-CN" w:bidi="ar"/>
              </w:rPr>
              <w:t>4</w:t>
            </w:r>
            <w:r>
              <w:rPr>
                <w:rFonts w:hint="eastAsia" w:ascii="仿宋_GB2312" w:hAnsi="仿宋_GB2312" w:eastAsia="仿宋_GB2312" w:cs="仿宋_GB2312"/>
                <w:color w:val="auto"/>
                <w:sz w:val="18"/>
                <w:szCs w:val="18"/>
                <w:lang w:bidi="ar"/>
              </w:rPr>
              <w:t>:48.77:32.53</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540"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8、科技进步贡献率（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82.5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85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00"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9、人才资源总量</w:t>
            </w:r>
          </w:p>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（万人）</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bidi="ar"/>
              </w:rPr>
              <w:t>7.66</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bidi="ar"/>
              </w:rPr>
              <w:t>9.27</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540"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10、酱香白酒产量</w:t>
            </w:r>
          </w:p>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（万千升）</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9</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20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17</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80"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11、绿色和有机农产品面积占种植基地比例（</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68</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80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75"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12、旅游综合收入</w:t>
            </w:r>
          </w:p>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（亿元）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92.85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150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90" w:hRule="atLeast"/>
          <w:jc w:val="center"/>
        </w:trPr>
        <w:tc>
          <w:tcPr>
            <w:tcW w:w="40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13、</w:t>
            </w:r>
            <w:r>
              <w:rPr>
                <w:rFonts w:hint="eastAsia" w:ascii="仿宋_GB2312" w:hAnsi="仿宋_GB2312" w:eastAsia="仿宋_GB2312" w:cs="仿宋_GB2312"/>
                <w:sz w:val="18"/>
                <w:szCs w:val="18"/>
                <w:lang w:eastAsia="zh-CN" w:bidi="ar"/>
              </w:rPr>
              <w:t>累计完成</w:t>
            </w:r>
            <w:r>
              <w:rPr>
                <w:rFonts w:hint="eastAsia" w:ascii="仿宋_GB2312" w:hAnsi="仿宋_GB2312" w:eastAsia="仿宋_GB2312" w:cs="仿宋_GB2312"/>
                <w:sz w:val="18"/>
                <w:szCs w:val="18"/>
                <w:lang w:bidi="ar"/>
              </w:rPr>
              <w:t>招商引资到位资金（亿元）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656</w:t>
            </w:r>
            <w:r>
              <w:rPr>
                <w:rFonts w:hint="eastAsia" w:ascii="仿宋_GB2312" w:hAnsi="仿宋_GB2312" w:eastAsia="仿宋_GB2312" w:cs="仿宋_GB2312"/>
                <w:sz w:val="18"/>
                <w:szCs w:val="18"/>
              </w:rPr>
              <w:t>]</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700</w:t>
            </w:r>
            <w:r>
              <w:rPr>
                <w:rFonts w:hint="eastAsia" w:ascii="仿宋_GB2312" w:hAnsi="仿宋_GB2312" w:eastAsia="仿宋_GB2312" w:cs="仿宋_GB2312"/>
                <w:color w:val="auto"/>
                <w:sz w:val="18"/>
                <w:szCs w:val="18"/>
              </w:rPr>
              <w:t>]</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481" w:hRule="atLeast"/>
          <w:jc w:val="center"/>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基        础        支        撑</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14、公路总里程（公里）</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bidi="ar"/>
              </w:rPr>
              <w:t>7500</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bidi="ar"/>
              </w:rPr>
              <w:t>7725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4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15、水利工程设计供水能力（</w:t>
            </w:r>
            <w:r>
              <w:rPr>
                <w:rFonts w:hint="eastAsia" w:ascii="仿宋_GB2312" w:hAnsi="仿宋_GB2312" w:eastAsia="仿宋_GB2312" w:cs="仿宋_GB2312"/>
                <w:sz w:val="18"/>
                <w:szCs w:val="18"/>
                <w:lang w:eastAsia="zh-CN" w:bidi="ar"/>
              </w:rPr>
              <w:t>亿</w:t>
            </w:r>
            <w:r>
              <w:rPr>
                <w:rFonts w:hint="eastAsia" w:ascii="仿宋_GB2312" w:hAnsi="仿宋_GB2312" w:eastAsia="仿宋_GB2312" w:cs="仿宋_GB2312"/>
                <w:sz w:val="18"/>
                <w:szCs w:val="18"/>
                <w:lang w:bidi="ar"/>
              </w:rPr>
              <w:t>立方米）</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bidi="ar"/>
              </w:rPr>
              <w:t>0.37</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bidi="ar"/>
              </w:rPr>
              <w:t>0.89</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27.5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80"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16、城区、镇区、景区等免费</w:t>
            </w:r>
            <w:r>
              <w:rPr>
                <w:rStyle w:val="30"/>
                <w:rFonts w:hint="eastAsia" w:ascii="仿宋_GB2312" w:hAnsi="仿宋_GB2312" w:eastAsia="仿宋_GB2312" w:cs="仿宋_GB2312"/>
                <w:color w:val="auto"/>
                <w:sz w:val="18"/>
                <w:szCs w:val="18"/>
                <w:lang w:bidi="ar"/>
              </w:rPr>
              <w:t>Wi-Fi</w:t>
            </w:r>
            <w:r>
              <w:rPr>
                <w:rStyle w:val="29"/>
                <w:rFonts w:hint="eastAsia" w:ascii="仿宋_GB2312" w:hAnsi="仿宋_GB2312" w:eastAsia="仿宋_GB2312" w:cs="仿宋_GB2312"/>
                <w:color w:val="auto"/>
                <w:sz w:val="18"/>
                <w:szCs w:val="18"/>
                <w:lang w:bidi="ar"/>
              </w:rPr>
              <w:t>覆盖率（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 xml:space="preserve">城区3%     </w:t>
            </w:r>
          </w:p>
          <w:p>
            <w:pPr>
              <w:widowControl/>
              <w:spacing w:line="240" w:lineRule="atLeast"/>
              <w:ind w:firstLine="0" w:firstLineChars="0"/>
              <w:jc w:val="center"/>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 xml:space="preserve">镇区0%      </w:t>
            </w:r>
          </w:p>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景区38%</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lang w:bidi="ar"/>
              </w:rPr>
            </w:pPr>
            <w:r>
              <w:rPr>
                <w:rFonts w:hint="eastAsia" w:ascii="仿宋_GB2312" w:hAnsi="仿宋_GB2312" w:eastAsia="仿宋_GB2312" w:cs="仿宋_GB2312"/>
                <w:color w:val="auto"/>
                <w:sz w:val="18"/>
                <w:szCs w:val="18"/>
                <w:lang w:bidi="ar"/>
              </w:rPr>
              <w:t xml:space="preserve">城区10%    </w:t>
            </w:r>
          </w:p>
          <w:p>
            <w:pPr>
              <w:widowControl/>
              <w:spacing w:line="240" w:lineRule="atLeast"/>
              <w:ind w:firstLine="0" w:firstLineChars="0"/>
              <w:jc w:val="center"/>
              <w:textAlignment w:val="center"/>
              <w:rPr>
                <w:rFonts w:ascii="仿宋_GB2312" w:hAnsi="仿宋_GB2312" w:eastAsia="仿宋_GB2312" w:cs="仿宋_GB2312"/>
                <w:color w:val="auto"/>
                <w:sz w:val="18"/>
                <w:szCs w:val="18"/>
                <w:lang w:bidi="ar"/>
              </w:rPr>
            </w:pPr>
            <w:r>
              <w:rPr>
                <w:rFonts w:hint="eastAsia" w:ascii="仿宋_GB2312" w:hAnsi="仿宋_GB2312" w:eastAsia="仿宋_GB2312" w:cs="仿宋_GB2312"/>
                <w:color w:val="auto"/>
                <w:sz w:val="18"/>
                <w:szCs w:val="18"/>
                <w:lang w:bidi="ar"/>
              </w:rPr>
              <w:t xml:space="preserve">镇区10%    </w:t>
            </w:r>
          </w:p>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景区60%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lang w:bidi="ar"/>
              </w:rPr>
            </w:pPr>
            <w:r>
              <w:rPr>
                <w:rFonts w:hint="eastAsia" w:ascii="仿宋_GB2312" w:hAnsi="仿宋_GB2312" w:eastAsia="仿宋_GB2312" w:cs="仿宋_GB2312"/>
                <w:color w:val="auto"/>
                <w:sz w:val="18"/>
                <w:szCs w:val="18"/>
                <w:lang w:bidi="ar"/>
              </w:rPr>
              <w:t>城区1.4%</w:t>
            </w:r>
          </w:p>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镇区2%    景区4.8%</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445" w:hRule="atLeast"/>
          <w:jc w:val="center"/>
        </w:trPr>
        <w:tc>
          <w:tcPr>
            <w:tcW w:w="40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绿        色        发        展</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17、森林覆盖率（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57.97</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62</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0.7</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15"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18、单位生产总值能耗降低（</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-3.43%</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市级目前未下达</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color w:val="auto"/>
                <w:sz w:val="18"/>
                <w:szCs w:val="18"/>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585"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19、万元生产总值用水量降低（</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39.05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市级目前未下达</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color w:val="auto"/>
                <w:sz w:val="18"/>
                <w:szCs w:val="18"/>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720" w:hRule="atLeast"/>
          <w:jc w:val="center"/>
        </w:trPr>
        <w:tc>
          <w:tcPr>
            <w:tcW w:w="40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20、单位生产总值二氧化碳排放降低（</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sz w:val="18"/>
                <w:szCs w:val="18"/>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市级目前未下达</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color w:val="auto"/>
                <w:sz w:val="18"/>
                <w:szCs w:val="18"/>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72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类别</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指 标</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2020年预计</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color w:val="auto"/>
                <w:sz w:val="28"/>
                <w:szCs w:val="21"/>
                <w:shd w:val="clear" w:color="auto" w:fill="FFFFFF"/>
                <w:lang w:val="en-US" w:eastAsia="zh-CN" w:bidi="ar-SA"/>
              </w:rPr>
            </w:pPr>
            <w:r>
              <w:rPr>
                <w:rFonts w:hint="eastAsia" w:ascii="仿宋_GB2312" w:hAnsi="仿宋_GB2312" w:eastAsia="仿宋_GB2312" w:cs="仿宋_GB2312"/>
                <w:b/>
                <w:color w:val="auto"/>
                <w:sz w:val="21"/>
                <w:szCs w:val="21"/>
                <w:lang w:bidi="ar"/>
              </w:rPr>
              <w:t>2025年规划</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Style w:val="27"/>
                <w:rFonts w:ascii="仿宋_GB2312" w:hAnsi="仿宋_GB2312" w:eastAsia="仿宋_GB2312" w:cs="仿宋_GB2312"/>
                <w:color w:val="auto"/>
                <w:lang w:bidi="ar"/>
              </w:rPr>
            </w:pPr>
            <w:r>
              <w:rPr>
                <w:rStyle w:val="27"/>
                <w:rFonts w:hint="eastAsia" w:ascii="仿宋_GB2312" w:hAnsi="仿宋_GB2312" w:eastAsia="仿宋_GB2312" w:cs="仿宋_GB2312"/>
                <w:color w:val="auto"/>
                <w:lang w:bidi="ar"/>
              </w:rPr>
              <w:t>年均增长</w:t>
            </w:r>
          </w:p>
          <w:p>
            <w:pPr>
              <w:widowControl/>
              <w:spacing w:line="240" w:lineRule="atLeast"/>
              <w:ind w:firstLine="0" w:firstLineChars="0"/>
              <w:jc w:val="center"/>
              <w:textAlignment w:val="center"/>
              <w:rPr>
                <w:rFonts w:hint="eastAsia" w:ascii="仿宋_GB2312" w:hAnsi="仿宋_GB2312" w:eastAsia="仿宋_GB2312" w:cs="仿宋_GB2312"/>
                <w:b/>
                <w:color w:val="auto"/>
                <w:sz w:val="28"/>
                <w:szCs w:val="21"/>
                <w:shd w:val="clear" w:color="auto" w:fill="FFFFFF"/>
                <w:lang w:val="en-US" w:eastAsia="zh-CN" w:bidi="ar-SA"/>
              </w:rPr>
            </w:pPr>
            <w:r>
              <w:rPr>
                <w:rStyle w:val="27"/>
                <w:rFonts w:hint="eastAsia" w:ascii="仿宋_GB2312" w:hAnsi="仿宋_GB2312" w:eastAsia="仿宋_GB2312" w:cs="仿宋_GB2312"/>
                <w:color w:val="auto"/>
                <w:lang w:bidi="ar"/>
              </w:rPr>
              <w:t>（</w:t>
            </w:r>
            <w:r>
              <w:rPr>
                <w:rStyle w:val="28"/>
                <w:rFonts w:hint="eastAsia" w:ascii="仿宋_GB2312" w:hAnsi="仿宋_GB2312" w:eastAsia="仿宋_GB2312" w:cs="仿宋_GB2312"/>
                <w:color w:val="auto"/>
                <w:lang w:bidi="ar"/>
              </w:rPr>
              <w:t>%</w:t>
            </w:r>
            <w:r>
              <w:rPr>
                <w:rStyle w:val="27"/>
                <w:rFonts w:hint="eastAsia" w:ascii="仿宋_GB2312" w:hAnsi="仿宋_GB2312" w:eastAsia="仿宋_GB2312" w:cs="仿宋_GB2312"/>
                <w:color w:val="auto"/>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属性</w:t>
            </w:r>
          </w:p>
        </w:tc>
      </w:tr>
      <w:tr>
        <w:tblPrEx>
          <w:tblCellMar>
            <w:top w:w="0" w:type="dxa"/>
            <w:left w:w="0" w:type="dxa"/>
            <w:bottom w:w="0" w:type="dxa"/>
            <w:right w:w="0" w:type="dxa"/>
          </w:tblCellMar>
        </w:tblPrEx>
        <w:trPr>
          <w:trHeight w:val="660" w:hRule="atLeast"/>
          <w:jc w:val="center"/>
        </w:trPr>
        <w:tc>
          <w:tcPr>
            <w:tcW w:w="40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绿        色        发        展</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21、主要污染物排放总量减少（</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sz w:val="18"/>
                <w:szCs w:val="18"/>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市级目前未下达</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color w:val="auto"/>
                <w:sz w:val="18"/>
                <w:szCs w:val="18"/>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700"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22、流域水质优良（达到或优于Ⅲ级）比例（</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100</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00" w:hRule="atLeast"/>
          <w:jc w:val="center"/>
        </w:trPr>
        <w:tc>
          <w:tcPr>
            <w:tcW w:w="400"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23、城区空气质量指数（</w:t>
            </w:r>
            <w:r>
              <w:rPr>
                <w:rStyle w:val="30"/>
                <w:rFonts w:hint="eastAsia" w:ascii="仿宋_GB2312" w:hAnsi="仿宋_GB2312" w:eastAsia="仿宋_GB2312" w:cs="仿宋_GB2312"/>
                <w:color w:val="auto"/>
                <w:sz w:val="18"/>
                <w:szCs w:val="18"/>
                <w:lang w:bidi="ar"/>
              </w:rPr>
              <w:t>AQI</w:t>
            </w:r>
            <w:r>
              <w:rPr>
                <w:rStyle w:val="29"/>
                <w:rFonts w:hint="eastAsia" w:ascii="仿宋_GB2312" w:hAnsi="仿宋_GB2312" w:eastAsia="仿宋_GB2312" w:cs="仿宋_GB2312"/>
                <w:color w:val="auto"/>
                <w:sz w:val="18"/>
                <w:szCs w:val="18"/>
                <w:lang w:bidi="ar"/>
              </w:rPr>
              <w:t>）（</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96.5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98.5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40" w:hRule="atLeast"/>
          <w:jc w:val="center"/>
        </w:trPr>
        <w:tc>
          <w:tcPr>
            <w:tcW w:w="400"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textAlignment w:val="center"/>
              <w:rPr>
                <w:rFonts w:ascii="仿宋_GB2312" w:hAnsi="仿宋_GB2312" w:eastAsia="仿宋_GB2312" w:cs="仿宋_GB2312"/>
                <w:b/>
                <w:sz w:val="24"/>
                <w:szCs w:val="21"/>
                <w:lang w:bidi="ar"/>
              </w:rPr>
            </w:pPr>
          </w:p>
          <w:p>
            <w:pPr>
              <w:pStyle w:val="18"/>
              <w:ind w:firstLine="366" w:firstLineChars="131"/>
              <w:rPr>
                <w:lang w:bidi="ar"/>
              </w:rPr>
            </w:pPr>
          </w:p>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民        生        福        祉</w:t>
            </w:r>
          </w:p>
          <w:p>
            <w:pPr>
              <w:spacing w:line="240" w:lineRule="atLeast"/>
              <w:ind w:firstLine="0" w:firstLineChars="0"/>
              <w:jc w:val="center"/>
              <w:rPr>
                <w:rFonts w:ascii="仿宋_GB2312" w:hAnsi="仿宋_GB2312" w:eastAsia="仿宋_GB2312" w:cs="仿宋_GB2312"/>
                <w:b/>
                <w:szCs w:val="21"/>
              </w:rPr>
            </w:pPr>
          </w:p>
          <w:p>
            <w:pPr>
              <w:spacing w:line="240" w:lineRule="atLeast"/>
              <w:ind w:firstLine="562"/>
              <w:jc w:val="center"/>
              <w:textAlignment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24、农村常住居民人均可支配收入（元）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12846</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21163</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8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562"/>
              <w:jc w:val="center"/>
              <w:textAlignment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25、城镇常住居民人均可支配收入（元）</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36098</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58136</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6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562"/>
              <w:jc w:val="center"/>
              <w:textAlignment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26、城镇登记失业率（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3.21</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4以内</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43"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lang w:bidi="ar"/>
              </w:rPr>
            </w:pPr>
            <w:r>
              <w:rPr>
                <w:rStyle w:val="29"/>
                <w:rFonts w:hint="eastAsia" w:ascii="仿宋_GB2312" w:hAnsi="仿宋_GB2312" w:eastAsia="仿宋_GB2312" w:cs="仿宋_GB2312"/>
                <w:color w:val="auto"/>
                <w:sz w:val="18"/>
                <w:szCs w:val="18"/>
                <w:lang w:bidi="ar"/>
              </w:rPr>
              <w:t>27、基本养老保险覆盖率（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92.50</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lang w:bidi="ar"/>
              </w:rPr>
            </w:pPr>
            <w:r>
              <w:rPr>
                <w:rFonts w:hint="eastAsia" w:ascii="仿宋_GB2312" w:hAnsi="仿宋_GB2312" w:eastAsia="仿宋_GB2312" w:cs="仿宋_GB2312"/>
                <w:color w:val="auto"/>
                <w:sz w:val="18"/>
                <w:szCs w:val="18"/>
                <w:lang w:bidi="ar"/>
              </w:rPr>
              <w:t>97.50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lang w:bidi="ar"/>
              </w:rPr>
            </w:pPr>
            <w:r>
              <w:rPr>
                <w:rFonts w:hint="eastAsia" w:ascii="仿宋_GB2312" w:hAnsi="仿宋_GB2312" w:eastAsia="仿宋_GB2312" w:cs="仿宋_GB2312"/>
                <w:color w:val="auto"/>
                <w:sz w:val="18"/>
                <w:szCs w:val="18"/>
                <w:lang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lang w:bidi="ar"/>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6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Style w:val="29"/>
                <w:rFonts w:ascii="仿宋_GB2312" w:hAnsi="仿宋_GB2312" w:eastAsia="仿宋_GB2312" w:cs="仿宋_GB2312"/>
                <w:color w:val="auto"/>
                <w:sz w:val="18"/>
                <w:szCs w:val="18"/>
                <w:lang w:bidi="ar"/>
              </w:rPr>
            </w:pPr>
            <w:r>
              <w:rPr>
                <w:rStyle w:val="29"/>
                <w:rFonts w:hint="eastAsia" w:ascii="仿宋_GB2312" w:hAnsi="仿宋_GB2312" w:eastAsia="仿宋_GB2312" w:cs="仿宋_GB2312"/>
                <w:color w:val="auto"/>
                <w:sz w:val="18"/>
                <w:szCs w:val="18"/>
                <w:lang w:bidi="ar"/>
              </w:rPr>
              <w:t>28、农村居民基本医疗保险参保率（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99</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lang w:bidi="ar"/>
              </w:rPr>
            </w:pPr>
            <w:r>
              <w:rPr>
                <w:rFonts w:hint="eastAsia" w:ascii="仿宋_GB2312" w:hAnsi="仿宋_GB2312" w:eastAsia="仿宋_GB2312" w:cs="仿宋_GB2312"/>
                <w:color w:val="auto"/>
                <w:sz w:val="18"/>
                <w:szCs w:val="18"/>
                <w:lang w:bidi="ar"/>
              </w:rPr>
              <w:t>99.35</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lang w:bidi="ar"/>
              </w:rPr>
            </w:pPr>
            <w:r>
              <w:rPr>
                <w:rFonts w:hint="eastAsia" w:ascii="仿宋_GB2312" w:hAnsi="仿宋_GB2312" w:eastAsia="仿宋_GB2312" w:cs="仿宋_GB2312"/>
                <w:color w:val="auto"/>
                <w:sz w:val="18"/>
                <w:szCs w:val="18"/>
                <w:lang w:bidi="ar"/>
              </w:rPr>
              <w:t>0.7</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lang w:bidi="ar"/>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70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29、城镇棚户区改造（户）</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1961</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5000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15"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30、老旧小区改造（户）</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455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5000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05"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31、医疗卫生机构床位数（张</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千人）</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6.55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6.8</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0.05</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6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Style w:val="29"/>
                <w:rFonts w:hint="eastAsia" w:ascii="仿宋_GB2312" w:hAnsi="仿宋_GB2312" w:eastAsia="仿宋_GB2312" w:cs="仿宋_GB2312"/>
                <w:color w:val="auto"/>
                <w:sz w:val="18"/>
                <w:szCs w:val="18"/>
                <w:lang w:bidi="ar"/>
              </w:rPr>
              <w:t>32、九年义务教育巩固率（</w:t>
            </w:r>
            <w:r>
              <w:rPr>
                <w:rStyle w:val="30"/>
                <w:rFonts w:hint="eastAsia" w:ascii="仿宋_GB2312" w:hAnsi="仿宋_GB2312" w:eastAsia="仿宋_GB2312" w:cs="仿宋_GB2312"/>
                <w:color w:val="auto"/>
                <w:sz w:val="18"/>
                <w:szCs w:val="18"/>
                <w:lang w:bidi="ar"/>
              </w:rPr>
              <w:t>%</w:t>
            </w:r>
            <w:r>
              <w:rPr>
                <w:rStyle w:val="29"/>
                <w:rFonts w:hint="eastAsia" w:ascii="仿宋_GB2312" w:hAnsi="仿宋_GB2312" w:eastAsia="仿宋_GB2312" w:cs="仿宋_GB2312"/>
                <w:color w:val="auto"/>
                <w:sz w:val="18"/>
                <w:szCs w:val="18"/>
                <w:lang w:bidi="ar"/>
              </w:rPr>
              <w:t>）</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107.25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0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33、亿元生产总值生产安全事故死亡率（人）</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0.0196</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控制在0.04</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20" w:hRule="atLeast"/>
          <w:jc w:val="center"/>
        </w:trPr>
        <w:tc>
          <w:tcPr>
            <w:tcW w:w="4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34、有机高粱种植面积（万亩）</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bidi="ar"/>
              </w:rPr>
              <w:t>25</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bidi="ar"/>
              </w:rPr>
              <w:t>40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800" w:hRule="atLeast"/>
          <w:jc w:val="center"/>
        </w:trPr>
        <w:tc>
          <w:tcPr>
            <w:tcW w:w="400"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35、省/市级以上农业龙头企业数量（个）</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52</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52</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658" w:hRule="atLeast"/>
          <w:jc w:val="center"/>
        </w:trPr>
        <w:tc>
          <w:tcPr>
            <w:tcW w:w="400" w:type="pct"/>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乡        村        振         兴</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36、休闲农业和乡村旅游接待人次（万）</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480</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800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12</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835" w:hRule="atLeast"/>
          <w:jc w:val="center"/>
        </w:trPr>
        <w:tc>
          <w:tcPr>
            <w:tcW w:w="40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37、生活污水处理的行政村比例（%）</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26.67</w:t>
            </w:r>
          </w:p>
        </w:tc>
        <w:tc>
          <w:tcPr>
            <w:tcW w:w="10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100</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30</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77" w:hRule="atLeast"/>
          <w:jc w:val="center"/>
        </w:trPr>
        <w:tc>
          <w:tcPr>
            <w:tcW w:w="400"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38、农村卫生厕所普及率（%）</w:t>
            </w:r>
          </w:p>
        </w:tc>
        <w:tc>
          <w:tcPr>
            <w:tcW w:w="106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100</w:t>
            </w:r>
          </w:p>
        </w:tc>
        <w:tc>
          <w:tcPr>
            <w:tcW w:w="109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100</w:t>
            </w:r>
          </w:p>
        </w:tc>
        <w:tc>
          <w:tcPr>
            <w:tcW w:w="71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77"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类别</w:t>
            </w: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指 标</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2020年预计</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2025年规划</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Style w:val="27"/>
                <w:rFonts w:ascii="仿宋_GB2312" w:hAnsi="仿宋_GB2312" w:eastAsia="仿宋_GB2312" w:cs="仿宋_GB2312"/>
                <w:color w:val="auto"/>
                <w:lang w:bidi="ar"/>
              </w:rPr>
            </w:pPr>
            <w:r>
              <w:rPr>
                <w:rStyle w:val="27"/>
                <w:rFonts w:hint="eastAsia" w:ascii="仿宋_GB2312" w:hAnsi="仿宋_GB2312" w:eastAsia="仿宋_GB2312" w:cs="仿宋_GB2312"/>
                <w:color w:val="auto"/>
                <w:lang w:bidi="ar"/>
              </w:rPr>
              <w:t>年均增长</w:t>
            </w:r>
          </w:p>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Style w:val="27"/>
                <w:rFonts w:hint="eastAsia" w:ascii="仿宋_GB2312" w:hAnsi="仿宋_GB2312" w:eastAsia="仿宋_GB2312" w:cs="仿宋_GB2312"/>
                <w:color w:val="auto"/>
                <w:lang w:bidi="ar"/>
              </w:rPr>
              <w:t>（</w:t>
            </w:r>
            <w:r>
              <w:rPr>
                <w:rStyle w:val="28"/>
                <w:rFonts w:hint="eastAsia" w:ascii="仿宋_GB2312" w:hAnsi="仿宋_GB2312" w:eastAsia="仿宋_GB2312" w:cs="仿宋_GB2312"/>
                <w:color w:val="auto"/>
                <w:lang w:bidi="ar"/>
              </w:rPr>
              <w:t>%</w:t>
            </w:r>
            <w:r>
              <w:rPr>
                <w:rStyle w:val="27"/>
                <w:rFonts w:hint="eastAsia" w:ascii="仿宋_GB2312" w:hAnsi="仿宋_GB2312" w:eastAsia="仿宋_GB2312" w:cs="仿宋_GB2312"/>
                <w:color w:val="auto"/>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eastAsia" w:ascii="仿宋_GB2312" w:hAnsi="仿宋_GB2312" w:eastAsia="仿宋_GB2312" w:cs="仿宋_GB2312"/>
                <w:b/>
                <w:sz w:val="28"/>
                <w:szCs w:val="21"/>
                <w:shd w:val="clear" w:color="auto" w:fill="FFFFFF"/>
                <w:lang w:val="en-US" w:eastAsia="zh-CN" w:bidi="ar-SA"/>
              </w:rPr>
            </w:pPr>
            <w:r>
              <w:rPr>
                <w:rFonts w:hint="eastAsia" w:ascii="仿宋_GB2312" w:hAnsi="仿宋_GB2312" w:eastAsia="仿宋_GB2312" w:cs="仿宋_GB2312"/>
                <w:b/>
                <w:sz w:val="21"/>
                <w:szCs w:val="21"/>
                <w:lang w:bidi="ar"/>
              </w:rPr>
              <w:t>属性</w:t>
            </w:r>
          </w:p>
        </w:tc>
      </w:tr>
      <w:tr>
        <w:tblPrEx>
          <w:tblCellMar>
            <w:top w:w="0" w:type="dxa"/>
            <w:left w:w="0" w:type="dxa"/>
            <w:bottom w:w="0" w:type="dxa"/>
            <w:right w:w="0" w:type="dxa"/>
          </w:tblCellMar>
        </w:tblPrEx>
        <w:trPr>
          <w:trHeight w:val="621" w:hRule="atLeast"/>
          <w:jc w:val="center"/>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r>
              <w:rPr>
                <w:rFonts w:hint="eastAsia" w:ascii="仿宋_GB2312" w:hAnsi="仿宋_GB2312" w:eastAsia="仿宋_GB2312" w:cs="仿宋_GB2312"/>
                <w:b/>
                <w:sz w:val="24"/>
                <w:szCs w:val="21"/>
                <w:lang w:bidi="ar"/>
              </w:rPr>
              <w:t>乡        村        振         兴</w:t>
            </w: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39、城镇生活垃圾无害化处理比例（%）</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bidi="ar"/>
              </w:rPr>
              <w:t>93.27</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94</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FF0000"/>
                <w:sz w:val="18"/>
                <w:szCs w:val="18"/>
                <w:lang w:bidi="ar"/>
              </w:rPr>
              <w:t>约束性</w:t>
            </w:r>
          </w:p>
        </w:tc>
      </w:tr>
      <w:tr>
        <w:tblPrEx>
          <w:tblCellMar>
            <w:top w:w="0" w:type="dxa"/>
            <w:left w:w="0" w:type="dxa"/>
            <w:bottom w:w="0" w:type="dxa"/>
            <w:right w:w="0" w:type="dxa"/>
          </w:tblCellMar>
        </w:tblPrEx>
        <w:trPr>
          <w:trHeight w:val="675" w:hRule="atLeast"/>
          <w:jc w:val="center"/>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40、市级及以上文明村镇达标率（%）</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市级以上文明村达标率5.7%、市级以上文明乡镇达标率40.9%</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市级以上文明村达标率10.4%、市级以上文明乡镇达标率63.6%</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预期性</w:t>
            </w:r>
          </w:p>
          <w:p>
            <w:pPr>
              <w:widowControl/>
              <w:spacing w:line="240" w:lineRule="atLeast"/>
              <w:ind w:firstLine="0" w:firstLineChars="0"/>
              <w:jc w:val="center"/>
              <w:textAlignment w:val="center"/>
              <w:rPr>
                <w:rFonts w:ascii="仿宋_GB2312" w:hAnsi="仿宋_GB2312" w:eastAsia="仿宋_GB2312" w:cs="仿宋_GB2312"/>
                <w:sz w:val="18"/>
                <w:szCs w:val="18"/>
                <w:lang w:bidi="ar"/>
              </w:rPr>
            </w:pPr>
          </w:p>
        </w:tc>
      </w:tr>
      <w:tr>
        <w:tblPrEx>
          <w:tblCellMar>
            <w:top w:w="0" w:type="dxa"/>
            <w:left w:w="0" w:type="dxa"/>
            <w:bottom w:w="0" w:type="dxa"/>
            <w:right w:w="0" w:type="dxa"/>
          </w:tblCellMar>
        </w:tblPrEx>
        <w:trPr>
          <w:trHeight w:val="660" w:hRule="atLeast"/>
          <w:jc w:val="center"/>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41、村级综合文化中心覆盖率（%）</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90" w:hRule="atLeast"/>
          <w:jc w:val="center"/>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42、农村社区党群服务中心普及率（%）</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r>
        <w:tblPrEx>
          <w:tblCellMar>
            <w:top w:w="0" w:type="dxa"/>
            <w:left w:w="0" w:type="dxa"/>
            <w:bottom w:w="0" w:type="dxa"/>
            <w:right w:w="0" w:type="dxa"/>
          </w:tblCellMar>
        </w:tblPrEx>
        <w:trPr>
          <w:trHeight w:val="740" w:hRule="atLeast"/>
          <w:jc w:val="center"/>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tLeast"/>
              <w:ind w:firstLine="0" w:firstLineChars="0"/>
              <w:jc w:val="center"/>
              <w:rPr>
                <w:rFonts w:ascii="仿宋_GB2312" w:hAnsi="仿宋_GB2312" w:eastAsia="仿宋_GB2312" w:cs="仿宋_GB2312"/>
                <w:b/>
                <w:szCs w:val="21"/>
              </w:rPr>
            </w:pPr>
          </w:p>
        </w:tc>
        <w:tc>
          <w:tcPr>
            <w:tcW w:w="1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43、有村规民约的村庄占比（%）</w:t>
            </w:r>
          </w:p>
        </w:tc>
        <w:tc>
          <w:tcPr>
            <w:tcW w:w="10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10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bidi="ar"/>
              </w:rPr>
              <w:t>100</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ind w:firstLine="0" w:firstLineChars="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预期性</w:t>
            </w:r>
          </w:p>
        </w:tc>
      </w:tr>
    </w:tbl>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98" w:name="_Toc8973"/>
      <w:bookmarkStart w:id="99" w:name="_Toc32329"/>
      <w:bookmarkStart w:id="100" w:name="_Toc27471"/>
      <w:bookmarkStart w:id="101" w:name="_Toc44085481"/>
      <w:r>
        <w:rPr>
          <w:rFonts w:hint="eastAsia" w:ascii="方正小标宋简体" w:hAnsi="方正小标宋简体" w:eastAsia="方正小标宋简体" w:cs="方正小标宋简体"/>
          <w:b w:val="0"/>
          <w:bCs/>
          <w:sz w:val="32"/>
          <w:szCs w:val="32"/>
        </w:rPr>
        <w:t>第四章   推动新型工业化，大力提升“实力习水”</w:t>
      </w:r>
      <w:bookmarkEnd w:id="98"/>
      <w:bookmarkEnd w:id="99"/>
      <w:bookmarkEnd w:id="100"/>
    </w:p>
    <w:bookmarkEnd w:id="101"/>
    <w:p>
      <w:pPr>
        <w:pStyle w:val="9"/>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扩量提质为目标，做大做强白酒主业，延伸发展包装印刷产业，完善上下游配套产业；适度发展煤电建材产业，积极培育食品深加工业；优化发展传统产业和新兴产业，夯实中国百强县产业基础，大力提升“实力习水”。</w:t>
      </w:r>
    </w:p>
    <w:p>
      <w:pPr>
        <w:pStyle w:val="5"/>
        <w:jc w:val="center"/>
        <w:rPr>
          <w:rFonts w:ascii="仿宋_GB2312" w:hAnsi="仿宋_GB2312" w:eastAsia="仿宋_GB2312" w:cs="仿宋_GB2312"/>
          <w:b/>
          <w:bCs/>
          <w:sz w:val="32"/>
          <w:szCs w:val="32"/>
        </w:rPr>
      </w:pPr>
      <w:bookmarkStart w:id="102" w:name="_Toc7233"/>
      <w:bookmarkStart w:id="103" w:name="_Toc22242"/>
      <w:bookmarkStart w:id="104" w:name="_Toc18802"/>
      <w:r>
        <w:rPr>
          <w:rFonts w:hint="eastAsia" w:ascii="仿宋_GB2312" w:hAnsi="仿宋_GB2312" w:eastAsia="仿宋_GB2312" w:cs="仿宋_GB2312"/>
          <w:b/>
          <w:bCs/>
          <w:sz w:val="32"/>
          <w:szCs w:val="32"/>
        </w:rPr>
        <w:t>第一节   做大做强白酒主业</w:t>
      </w:r>
      <w:bookmarkEnd w:id="102"/>
      <w:bookmarkEnd w:id="103"/>
      <w:bookmarkEnd w:id="104"/>
    </w:p>
    <w:p>
      <w:pPr>
        <w:pStyle w:val="9"/>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着力优化白酒产业布局。</w:t>
      </w:r>
      <w:r>
        <w:rPr>
          <w:rFonts w:hint="eastAsia" w:ascii="仿宋_GB2312" w:hAnsi="仿宋_GB2312" w:eastAsia="仿宋_GB2312" w:cs="仿宋_GB2312"/>
          <w:sz w:val="28"/>
          <w:szCs w:val="28"/>
        </w:rPr>
        <w:t>发挥我县白酒产业比较优势，引导白酒产业向桐梓河、习（赤）水河流域永安、二郎、回龙、习酒、隆兴、土城等乡镇布局，构建白酒产业发展带，优化我县白酒产业发展布局。以国土空间规划编制为契机，向省自然资源厅申请调整习水县土地利用规划，增加全县白酒产业用地指标，满足白酒产业发展需求。争取上级相关部门支持，调整贵州习水经济开发区总体规划，按照一区多园功能布局，在原有习酒、土城、隆兴等园区基础上，新增茅台酱香系列酒产业园、步长酒旅产业园、习酒桃竹产业园、习水白酒包材配套产业园、习水白酒配套产业二郎园区，扩大习水经开区发展范围。加强桐梓河、习（赤）水河流域白酒产业带的基础设施配套建设，修建连接永安、二郎、回龙、习酒、隆兴、土城等乡镇快速通道，习水县城至中国习酒城马临段中间连接大道。结合习酒公司、茅台201厂“双5万千升”技改工程建设，统筹解决经开区产业道路优化、给排水设施提升、企业环保指导审批以及企业用工、用电、用气成本等问题。</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专栏3：白酒产业项目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480"/>
              <w:rPr>
                <w:rFonts w:ascii="仿宋_GB2312" w:hAnsi="仿宋_GB2312" w:eastAsia="仿宋_GB2312" w:cs="仿宋_GB2312"/>
              </w:rPr>
            </w:pPr>
            <w:r>
              <w:rPr>
                <w:rFonts w:hint="eastAsia" w:ascii="楷体_GB2312" w:hAnsi="楷体_GB2312" w:eastAsia="楷体_GB2312" w:cs="楷体_GB2312"/>
                <w:sz w:val="24"/>
                <w:szCs w:val="24"/>
              </w:rPr>
              <w:t xml:space="preserve">习水县永安镇习部酱酒基地项目、习水县官店镇白酒产业园建设项目、习水县土城白酒工业园区6000吨酱香白酒技改项目、习水县习湖酒厂新增年产14500吨酱香型白酒技改项目、习水县习酒公司1.9万吨酱香技改工程及配套设施建设项目、习水县云峰5000吨白酒技改工程及配套设施建设项目、习水县茅台201厂3万吨酱香系列酒技改工程及配套设施建设项目、习水县安酒2万吨酱香型白酒建设项目、习水县步长集团酒旅一体建设项目、习水县习酒镇习酒公司徐家寨7500吨酱香系列酒技改工程及配套设施项目、习水县习酒镇习酒公司桃竹坝4.5万吨酱香系列酒技改工程及配套设施项目、习水县回龙镇联丰村二郎酒厂片区5000吨酱香系列酒技改工程及配套设施项目、习水县回龙镇安龙村场上组3000吨酱香系列酒技改工程及配套设施项目、习水县回龙镇安龙村永恒酒业片区5000吨酱香系列酒技改工程及配套设施项目、习水县回龙镇向阳村向阳酒厂片区5000吨酱香系列酒技改工程及配套设施项目、习水县习酒镇瓮坪村桐梓坪5000吨酱香系列酒技改工程及配套设施项目、习水县习酒镇翁坪村5000吨酱香系列酒技改工程及配套设施项目、习水县习酒镇习酒公司黄金坪5000吨酱香系列酒技改工程及配套设施及酒庄项目、习水县习酒镇临江村麦坝2500吨酱香系列酒技改工程及配套设施项目、习水县习酒镇临江村3000吨酱香系列酒技改工程及配套设施项目、习水县醒民镇钢铁村安家井7000吨酱香系列酒技改工程及配套设施项目、习水县醒民镇群星村下坝子组6500吨酱香系列酒技改工程及配套设施项目、习水县醒民镇红岗村龙马酒业5000吨酱香系列酒技改工程及配套设施项目、习水县隆兴镇陶罐村十二组水井榜2.5万吨酱香系列酒技改工程及配套设施项目、习水县隆兴镇淋滩村淋滩1.5万吨酱香系列酒技改工程及配套设施项目、习水县泸仙酒业5000吨酱香系列酒技改工程及配套设施项目、习水县土城镇五星村土地坝5000吨酱香系列酒技改工程及配套设施项目、习水县土城镇齐心村新场上4000吨酱香系列酒技改工程及配套设施项目、习水县土城镇同心村九十坝1.5万吨酱香系列酒技改工程及配套设施项目。 </w:t>
            </w:r>
          </w:p>
        </w:tc>
      </w:tr>
    </w:tbl>
    <w:p>
      <w:pPr>
        <w:ind w:firstLine="562"/>
        <w:rPr>
          <w:rFonts w:ascii="仿宋_GB2312" w:hAnsi="仿宋_GB2312" w:eastAsia="仿宋_GB2312" w:cs="仿宋_GB2312"/>
        </w:rPr>
      </w:pPr>
      <w:r>
        <w:rPr>
          <w:rFonts w:hint="eastAsia" w:ascii="仿宋_GB2312" w:hAnsi="仿宋_GB2312" w:eastAsia="仿宋_GB2312" w:cs="仿宋_GB2312"/>
          <w:b/>
          <w:bCs/>
        </w:rPr>
        <w:t>着力优化白酒企业结构。</w:t>
      </w:r>
      <w:r>
        <w:rPr>
          <w:rFonts w:hint="eastAsia" w:ascii="仿宋_GB2312" w:hAnsi="仿宋_GB2312" w:eastAsia="仿宋_GB2312" w:cs="仿宋_GB2312"/>
        </w:rPr>
        <w:t>根据我县白酒产业现状和土地资源稀缺等特点，制定《习水县园区白酒企业准入评估及管理服务指导意见》，从单位面积投资额、季度产能、年度总产能、土地产出比方面设定条件，提高经开区及其他园区企业准入门槛，确保入园企业质量。坚持扩大总量和提升品质并重，大力实施白酒企业梯度培育计划，重点支持龙头企业，着力构建“2+3+N”白酒产业格局，实现白酒企业集群发展，到2025年，白酒产能突破20万千升，产值达到380亿元。优先支持习酒公司、茅台201厂实现百亿目标；支持小糊涂仙、贵州安酒、贵州洞酿洞藏酒突破十亿大关；支持习湖、宋窖、永恒迈入亿元行列。深入实施“千企改造”工程，推进白酒企业兼并重组、扩能技改。大力推动重点酒企以资产、品牌为纽带对中小酒企实施兼并重组。鼓励中小型企业与其他中小酒企、规模企业或战略投资者等进行合作，按照承担债务、出资购买、控股、授权经营、合并等方式进行重组。</w:t>
      </w:r>
    </w:p>
    <w:p>
      <w:pPr>
        <w:ind w:firstLine="562"/>
        <w:rPr>
          <w:rFonts w:ascii="仿宋_GB2312" w:hAnsi="仿宋_GB2312" w:eastAsia="仿宋_GB2312" w:cs="仿宋_GB2312"/>
        </w:rPr>
      </w:pPr>
      <w:r>
        <w:rPr>
          <w:rFonts w:hint="eastAsia" w:ascii="仿宋_GB2312" w:hAnsi="仿宋_GB2312" w:eastAsia="仿宋_GB2312" w:cs="仿宋_GB2312"/>
          <w:b/>
          <w:bCs/>
        </w:rPr>
        <w:t>着力保障龙头企业发展。</w:t>
      </w:r>
      <w:r>
        <w:rPr>
          <w:rFonts w:hint="eastAsia" w:ascii="仿宋_GB2312" w:hAnsi="仿宋_GB2312" w:eastAsia="仿宋_GB2312" w:cs="仿宋_GB2312"/>
        </w:rPr>
        <w:t>以支持习酒公司、茅台201厂实现“百亿产值”与“双五万千升产能”目标为重点，加快优质酿酒原料供应基地规划建设，推进有机地块转换认证，强化有机高粱产业全过程监管，实行统一种植、管理、收购，打造标准化、规模化、专业化的优质白酒原料“第一车间”。积极整合土地资源，优先满足习酒公司和茅台201厂产业及配套项目建设用地需求。围绕习酒公司、茅台201厂“双5万千升”技改工程等重大项目，采取实时追踪方式，积极做好群工服务，保障项目建设顺利进行。继续执行“白酒专班”制度，切实保证习酒专班、茅台201专班、茅台201快速通道专班在建设管理、手续办理、环境保护、安全生产、群工保障、征地拆迁等方面的及时性、准确性、完结性,切实解决好项目建设资金、审批、征地拆迁等问题，推动项目落地见效。</w:t>
      </w:r>
    </w:p>
    <w:p>
      <w:pPr>
        <w:ind w:firstLine="562"/>
        <w:rPr>
          <w:rFonts w:ascii="仿宋_GB2312" w:hAnsi="仿宋_GB2312" w:eastAsia="仿宋_GB2312" w:cs="仿宋_GB2312"/>
        </w:rPr>
      </w:pPr>
      <w:r>
        <w:rPr>
          <w:rFonts w:hint="eastAsia" w:ascii="仿宋_GB2312" w:hAnsi="仿宋_GB2312" w:eastAsia="仿宋_GB2312" w:cs="仿宋_GB2312"/>
          <w:b/>
          <w:bCs/>
        </w:rPr>
        <w:t>着力加强核心能力建设。</w:t>
      </w:r>
      <w:r>
        <w:rPr>
          <w:rFonts w:hint="eastAsia" w:ascii="仿宋_GB2312" w:hAnsi="仿宋_GB2312" w:eastAsia="仿宋_GB2312" w:cs="仿宋_GB2312"/>
        </w:rPr>
        <w:t>优化生产装备，提高检测水平，加强质量技术控制，推进白酒生产标准化建设。鼓励白酒企业开展技术、工艺和产品创新，加强关键技术研发，不断提升白酒品质。强化新技术在酿酒行业推广应用，健全技术监测管理体系，加快白酒产业转型升级、提质增效。加强有机高粱检测，把好白酒生产“第一道工序”，从生产源头确保质量安全。持续加大白酒产品抽检监测力度，做到企业、品种、项目全覆盖。按照《酱香型白酒国家标准》，支持白酒企业开展新一轮高水平技术改造，加快产品升级换代，大力推进酱酒酿造工艺规范化标准化。推进校企联动，加强职业教育、岗前培训和在职培训，培养一大批白酒产业快速发展所需的产业工人、专业技术人才和营销人才。实施“领导人素质”提升工程,选取优秀企业家与干部参与我县白酒经理人素养专题培训。组织专家团队，指导白酒产业发展。</w:t>
      </w:r>
    </w:p>
    <w:p>
      <w:pPr>
        <w:ind w:firstLine="562"/>
        <w:rPr>
          <w:rFonts w:ascii="仿宋_GB2312" w:hAnsi="仿宋_GB2312" w:eastAsia="仿宋_GB2312" w:cs="仿宋_GB2312"/>
        </w:rPr>
      </w:pPr>
      <w:r>
        <w:rPr>
          <w:rFonts w:hint="eastAsia" w:ascii="仿宋_GB2312" w:hAnsi="仿宋_GB2312" w:eastAsia="仿宋_GB2312" w:cs="仿宋_GB2312"/>
          <w:b/>
          <w:bCs/>
        </w:rPr>
        <w:t>着力提升白酒质量品牌。</w:t>
      </w:r>
      <w:r>
        <w:rPr>
          <w:rFonts w:hint="eastAsia" w:ascii="仿宋_GB2312" w:hAnsi="仿宋_GB2312" w:eastAsia="仿宋_GB2312" w:cs="仿宋_GB2312"/>
        </w:rPr>
        <w:t>坚持以习酒品牌为引领，努力将习酒窖藏1988打造成为全国强势品牌，跻身酱香白酒第二位，力争进入全国白酒前列。开展贵州十大名酒、贵州省名牌产品、贵州省省长质量奖、遵义十大名酒等产品品牌建设。用好习酒地理标志产品专用标志，加强白酒生态原产地产品保护，支持习酒公司打造世界知名品牌。加快探索“主品牌+系列产品”合作模式，促进中小酒类企业资源整合，不断提升我县白酒品牌竞争力。做优小糊涂仙、宋窖、安酒等中小企业产品品牌，形成多层次“名酒·民酒”品牌体系。顺应白酒时尚化、个性化、健康化消费趋势，加大预调酒、果酒、养生酒等新产品研发与推广，形成传统中式白酒、养生酒和创新酒品为支撑的产品体系。运用多种媒体资源，创新品牌传播方式，丰富品牌内涵，扩大品牌影响力。充分发挥赤水河流域酱酒原产地和主产区资源优势，依托“中国酱香·赤水河谷”区域品牌效应，紧扣打造世界优质酱香白酒核心产区目标，做响做靓“习水酱酒”地域品牌。深入挖掘习水酱酒文化特性，做优做强现有老品牌，打造特色新品牌。加强与相关部门合作，积极举办重要活动，提升我县特色酒产区知名度与影响力。</w:t>
      </w:r>
    </w:p>
    <w:p>
      <w:pPr>
        <w:pStyle w:val="5"/>
        <w:jc w:val="center"/>
        <w:rPr>
          <w:rFonts w:hint="eastAsia" w:ascii="仿宋_GB2312" w:hAnsi="仿宋_GB2312" w:eastAsia="仿宋_GB2312" w:cs="仿宋_GB2312"/>
          <w:b/>
          <w:bCs/>
          <w:sz w:val="32"/>
          <w:szCs w:val="32"/>
          <w:lang w:eastAsia="zh-CN"/>
        </w:rPr>
      </w:pPr>
      <w:bookmarkStart w:id="105" w:name="_Toc11135"/>
      <w:bookmarkStart w:id="106" w:name="_Toc16702"/>
      <w:bookmarkStart w:id="107" w:name="_Toc25461"/>
      <w:r>
        <w:rPr>
          <w:rFonts w:hint="eastAsia" w:ascii="仿宋_GB2312" w:hAnsi="仿宋_GB2312" w:eastAsia="仿宋_GB2312" w:cs="仿宋_GB2312"/>
          <w:b/>
          <w:bCs/>
          <w:sz w:val="32"/>
          <w:szCs w:val="32"/>
        </w:rPr>
        <w:t>第二节   延伸发展包装印刷</w:t>
      </w:r>
      <w:bookmarkEnd w:id="105"/>
      <w:bookmarkEnd w:id="106"/>
      <w:bookmarkEnd w:id="107"/>
      <w:r>
        <w:rPr>
          <w:rFonts w:hint="eastAsia" w:ascii="仿宋_GB2312" w:hAnsi="仿宋_GB2312" w:eastAsia="仿宋_GB2312" w:cs="仿宋_GB2312"/>
          <w:b/>
          <w:bCs/>
          <w:sz w:val="32"/>
          <w:szCs w:val="32"/>
          <w:lang w:eastAsia="zh-CN"/>
        </w:rPr>
        <w:t>产业</w:t>
      </w:r>
    </w:p>
    <w:p>
      <w:pPr>
        <w:ind w:firstLine="562"/>
        <w:rPr>
          <w:rFonts w:ascii="仿宋_GB2312" w:hAnsi="仿宋_GB2312" w:eastAsia="仿宋_GB2312" w:cs="仿宋_GB2312"/>
          <w:b/>
          <w:bCs/>
        </w:rPr>
      </w:pPr>
      <w:r>
        <w:rPr>
          <w:rFonts w:hint="eastAsia" w:ascii="仿宋_GB2312" w:hAnsi="仿宋_GB2312" w:eastAsia="仿宋_GB2312" w:cs="仿宋_GB2312"/>
          <w:b/>
          <w:bCs/>
        </w:rPr>
        <w:t>重点引进白酒包装印刷产业。</w:t>
      </w:r>
      <w:r>
        <w:rPr>
          <w:rFonts w:hint="eastAsia" w:ascii="仿宋_GB2312" w:hAnsi="仿宋_GB2312" w:eastAsia="仿宋_GB2312" w:cs="仿宋_GB2312"/>
        </w:rPr>
        <w:t>加强白酒产业配套，以温水、二郎两个白酒配套产业园区为重点，加快标准厂房、配套设施建设，提升园区的投资强度和产出效益，增强园区综合竞争力。重点引进一批大型包装、印刷、物流类企业，提升我县白酒包装、存储和物流运输能力与水平。聚焦县内和周边白酒主产区市场，畅通产供销渠道，提升白酒包材本地配套率，着力打造全国知名白酒包材配套园区，力争实现总产值突破60亿元。积极争取茅台201厂白酒包装落户习水。</w:t>
      </w:r>
    </w:p>
    <w:p>
      <w:pPr>
        <w:ind w:firstLine="562"/>
        <w:rPr>
          <w:rFonts w:ascii="仿宋_GB2312" w:hAnsi="仿宋_GB2312" w:eastAsia="仿宋_GB2312" w:cs="仿宋_GB2312"/>
        </w:rPr>
      </w:pPr>
      <w:r>
        <w:rPr>
          <w:rFonts w:hint="eastAsia" w:ascii="仿宋_GB2312" w:hAnsi="仿宋_GB2312" w:eastAsia="仿宋_GB2312" w:cs="仿宋_GB2312"/>
          <w:b/>
          <w:bCs/>
        </w:rPr>
        <w:t>推进包装印刷数字化智能化发展。</w:t>
      </w:r>
      <w:r>
        <w:rPr>
          <w:rFonts w:hint="eastAsia" w:ascii="仿宋_GB2312" w:hAnsi="仿宋_GB2312" w:eastAsia="仿宋_GB2312" w:cs="仿宋_GB2312"/>
        </w:rPr>
        <w:t>推进研发、设计、制造、供应链管理等关键环节柔性化改造，满足多品种、大规模、个性化定制需求。积极引进印刷电子、RFID、柔性显示等新型技术，采用电子标签、智能标签以及新材料应用等手段，实现质量安全监管、物流查询和溯源。积极发展新型数字包装印刷产品。</w:t>
      </w:r>
    </w:p>
    <w:p>
      <w:pPr>
        <w:spacing w:before="156" w:beforeLines="50" w:after="156" w:afterLines="50"/>
        <w:ind w:firstLine="0" w:firstLineChars="0"/>
        <w:jc w:val="center"/>
        <w:rPr>
          <w:rFonts w:hint="eastAsia" w:ascii="楷体_GB2312" w:hAnsi="楷体_GB2312" w:eastAsia="楷体_GB2312" w:cs="楷体_GB2312"/>
          <w:b/>
          <w:bCs/>
        </w:rPr>
      </w:pPr>
    </w:p>
    <w:p>
      <w:pPr>
        <w:spacing w:before="156" w:beforeLines="50" w:after="156" w:afterLines="50"/>
        <w:ind w:firstLine="0" w:firstLineChars="0"/>
        <w:jc w:val="center"/>
        <w:rPr>
          <w:rFonts w:hint="eastAsia" w:ascii="楷体_GB2312" w:hAnsi="楷体_GB2312" w:eastAsia="楷体_GB2312" w:cs="楷体_GB2312"/>
          <w:b/>
          <w:bCs/>
        </w:rPr>
      </w:pP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专栏4：白酒产业配套项目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480"/>
              <w:rPr>
                <w:rFonts w:ascii="仿宋_GB2312" w:hAnsi="仿宋_GB2312" w:eastAsia="仿宋_GB2312" w:cs="仿宋_GB2312"/>
              </w:rPr>
            </w:pPr>
            <w:r>
              <w:rPr>
                <w:rFonts w:hint="eastAsia" w:ascii="楷体_GB2312" w:hAnsi="楷体_GB2312" w:eastAsia="楷体_GB2312" w:cs="楷体_GB2312"/>
                <w:sz w:val="24"/>
                <w:szCs w:val="24"/>
              </w:rPr>
              <w:t>习水县白酒配套产业园区污水处理厂建设项目、习水县温水包材园区基础设施建设项目、习水县白酒配套产业园区（二期）建设项目、习水县小糊涂仙酒业包装车间建设项目、习水县温水白酒配套产业园建设项目、习水县俊东包装供应链印旅文化产业园项目、习水县美盈森包材建设项目、习水县白酒包装材料建设项目、习水县同顺玻璃瓶建设项目、习水县富立包装生产线建设项目、习水县中彩集团白酒包材建设项目、习水县中飞集团白酒包材建设项目、习水县泸州宏旭有限公司白酒包材建设项目、习水县晶华包装科技有限公司高档包装材料建设项目、习水县纯粮固态酿造技术工程研究中心建设项目。</w:t>
            </w:r>
          </w:p>
        </w:tc>
      </w:tr>
    </w:tbl>
    <w:p>
      <w:pPr>
        <w:pStyle w:val="5"/>
        <w:jc w:val="center"/>
        <w:rPr>
          <w:rFonts w:hint="eastAsia" w:ascii="仿宋_GB2312" w:hAnsi="仿宋_GB2312" w:eastAsia="仿宋_GB2312" w:cs="仿宋_GB2312"/>
          <w:b/>
          <w:bCs/>
          <w:sz w:val="32"/>
          <w:szCs w:val="32"/>
          <w:lang w:eastAsia="zh-CN"/>
        </w:rPr>
      </w:pPr>
      <w:bookmarkStart w:id="108" w:name="_Toc13768"/>
      <w:bookmarkStart w:id="109" w:name="_Toc21067"/>
      <w:bookmarkStart w:id="110" w:name="_Toc24541"/>
      <w:r>
        <w:rPr>
          <w:rFonts w:hint="eastAsia" w:ascii="仿宋_GB2312" w:hAnsi="仿宋_GB2312" w:eastAsia="仿宋_GB2312" w:cs="仿宋_GB2312"/>
          <w:b/>
          <w:bCs/>
          <w:sz w:val="32"/>
          <w:szCs w:val="32"/>
        </w:rPr>
        <w:t>第三节   加快发展煤电建材</w:t>
      </w:r>
      <w:bookmarkEnd w:id="108"/>
      <w:bookmarkEnd w:id="109"/>
      <w:bookmarkEnd w:id="110"/>
      <w:r>
        <w:rPr>
          <w:rFonts w:hint="eastAsia" w:ascii="仿宋_GB2312" w:hAnsi="仿宋_GB2312" w:eastAsia="仿宋_GB2312" w:cs="仿宋_GB2312"/>
          <w:b/>
          <w:bCs/>
          <w:sz w:val="32"/>
          <w:szCs w:val="32"/>
          <w:lang w:eastAsia="zh-CN"/>
        </w:rPr>
        <w:t>产业</w:t>
      </w:r>
    </w:p>
    <w:p>
      <w:pPr>
        <w:ind w:firstLine="562"/>
        <w:rPr>
          <w:rFonts w:ascii="仿宋_GB2312" w:hAnsi="仿宋_GB2312" w:eastAsia="仿宋_GB2312" w:cs="仿宋_GB2312"/>
        </w:rPr>
      </w:pPr>
      <w:r>
        <w:rPr>
          <w:rFonts w:hint="eastAsia" w:ascii="仿宋_GB2312" w:hAnsi="仿宋_GB2312" w:eastAsia="仿宋_GB2312" w:cs="仿宋_GB2312"/>
          <w:b/>
          <w:bCs/>
        </w:rPr>
        <w:t>煤电产业。</w:t>
      </w:r>
      <w:r>
        <w:rPr>
          <w:rFonts w:hint="eastAsia" w:ascii="仿宋_GB2312" w:hAnsi="仿宋_GB2312" w:eastAsia="仿宋_GB2312" w:cs="仿宋_GB2312"/>
        </w:rPr>
        <w:t>深化煤矿企业重组。坚持走规模化、集约化和集团化发展路子，优化煤炭产业结构，加快大中型现代化煤矿建设。重组煤炭企业，进一步提高煤炭产业集中度。对具备整合条件的中小煤矿进行技改扩能。提升矿井生产能力、改进采煤方法，提高煤矿资源回收率。坚决依法关闭达不到安全生产基本条件的小煤矿。发展煤炭深加工和综合利用。优先发展煤炭采掘业，实现主要煤企配备选煤厂。依托习煤集团，发展煤制油、煤制气等煤炭深加工业。推动煤矸石、粉煤灰和脱硫石膏综合利用，推进洁净煤和煤层气利用，发展循环经济。择机发展煤化工。稳步提升煤炭资源综合利用能力，与周边地区合作，发展煤化工产业。引进国内大型煤企及煤化工先进技术，发展清洁能源、新材料等新型煤化工产品，积极发展煤化工产业链，提高产品附加值。</w:t>
      </w:r>
    </w:p>
    <w:p>
      <w:pPr>
        <w:ind w:firstLine="562"/>
        <w:rPr>
          <w:rFonts w:ascii="仿宋_GB2312" w:hAnsi="仿宋_GB2312" w:eastAsia="仿宋_GB2312" w:cs="仿宋_GB2312"/>
        </w:rPr>
      </w:pPr>
      <w:r>
        <w:rPr>
          <w:rFonts w:hint="eastAsia" w:ascii="仿宋_GB2312" w:hAnsi="仿宋_GB2312" w:eastAsia="仿宋_GB2312" w:cs="仿宋_GB2312"/>
          <w:b/>
          <w:bCs/>
        </w:rPr>
        <w:t>电力产业。</w:t>
      </w:r>
      <w:r>
        <w:rPr>
          <w:rFonts w:hint="eastAsia" w:ascii="仿宋_GB2312" w:hAnsi="仿宋_GB2312" w:eastAsia="仿宋_GB2312" w:cs="仿宋_GB2312"/>
        </w:rPr>
        <w:t>优化调整电力产业结构。加大“上大压小”力度，坚决淘汰能耗高、污染大的小火电机组，发展清洁燃煤发电和煤基能源深度转化，积极推进热电联产工程。鼓励利用中煤、煤泥、煤矸石等低热值燃料，建设大中型煤矸石综合利用电厂，推进电力产业低碳清洁发展。推动重点企业发展。以火电为发展核心，有计划有步骤地推动风能发电和生物质能发电。加快二郎电厂及其输送电网建设，全力保障二郎电厂用煤需求。鼓励电力循环利用。继续深化二郎电厂向周边企业供暖供热供汽，综合利用余热，降低企业生产成本，提高企业经济效益。推进习水电厂迁址提升建设和煤矸石、瓦斯发电升级改造进程。开发发电后煤渣利用等循环再利用项目，加大工业“三废”的处理力度。</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专栏5：煤电产业项目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rPr>
              <w:t>1、煤炭项目：</w:t>
            </w:r>
            <w:r>
              <w:rPr>
                <w:rFonts w:hint="eastAsia" w:ascii="楷体_GB2312" w:hAnsi="楷体_GB2312" w:eastAsia="楷体_GB2312" w:cs="楷体_GB2312"/>
                <w:sz w:val="24"/>
                <w:szCs w:val="24"/>
              </w:rPr>
              <w:t>习水县桃林煤矿建设项目、习水县官店井田煤矿建设项目、习水县加益煤矿建设项目、习水县木担坝煤矿建设项目、习水县泰丰煤矿建设项目、习水县利达煤矿建设项目、习水县振兴煤矿建设项目、习水县新民煤矿建设项目、习水县华航煤矿建设项目、习水县霖俊谕煤矿建设项目、习水县永利煤矿建设项目、习水县习隆煤矿建设项目、习水县官渡河煤矿建设项目、习水县岔角煤矿建设项目、习水县合兴煤矿建设项目、习水县新兴宏能煤矿建设项目、习水县天成煤矿建设项目、习水县永安煤矿建设项目、习水县大丰煤矿建设项目、习水县小南坝煤矿建设项目、习水县长青煤矿建设项目、习水县煤矸石处理场建设项目、习水县富源煤矿建设项目、习水县天合煤矿建设项目、习水县富泓煤矿建设项目、习水县龙宝煤矿建设项目、习水县东枫煤矿建设项目、习水县金牛煤矿建设项目、习水县吉华煤矿建设项目、习水县星文煤矿建设项目、习水县泰龙煤矿建设项目、习水县富星煤矿建设项目。</w:t>
            </w:r>
          </w:p>
          <w:p>
            <w:pPr>
              <w:spacing w:line="50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rPr>
              <w:t>2、电力项目：</w:t>
            </w:r>
            <w:r>
              <w:rPr>
                <w:rFonts w:hint="eastAsia" w:ascii="楷体_GB2312" w:hAnsi="楷体_GB2312" w:eastAsia="楷体_GB2312" w:cs="楷体_GB2312"/>
                <w:sz w:val="24"/>
                <w:szCs w:val="24"/>
              </w:rPr>
              <w:t>贵州金元习水电厂“上大压小”2×660兆瓦煤电项目、习水县桑木风电建设项目、习水县东皇风电场建设项目、习水县热电碳联产开发建设项目、习水县垃圾焚烧发电二期工程、习水县燃机综合能源示范项目、习水县页岩气勘探开发建设项目。</w:t>
            </w:r>
          </w:p>
          <w:p>
            <w:pPr>
              <w:spacing w:line="500" w:lineRule="exact"/>
              <w:ind w:firstLine="482"/>
              <w:rPr>
                <w:rFonts w:ascii="仿宋_GB2312" w:hAnsi="仿宋_GB2312" w:eastAsia="仿宋_GB2312" w:cs="仿宋_GB2312"/>
              </w:rPr>
            </w:pPr>
            <w:r>
              <w:rPr>
                <w:rFonts w:hint="eastAsia" w:ascii="楷体_GB2312" w:hAnsi="楷体_GB2312" w:eastAsia="楷体_GB2312" w:cs="楷体_GB2312"/>
                <w:b/>
                <w:bCs/>
                <w:sz w:val="24"/>
                <w:szCs w:val="24"/>
              </w:rPr>
              <w:t>3、其他项目：</w:t>
            </w:r>
            <w:r>
              <w:rPr>
                <w:rFonts w:hint="eastAsia" w:ascii="楷体_GB2312" w:hAnsi="楷体_GB2312" w:eastAsia="楷体_GB2312" w:cs="楷体_GB2312"/>
                <w:sz w:val="24"/>
                <w:szCs w:val="24"/>
              </w:rPr>
              <w:t>习水县永安镇永和锌矿项目。</w:t>
            </w:r>
          </w:p>
        </w:tc>
      </w:tr>
    </w:tbl>
    <w:p>
      <w:pPr>
        <w:pStyle w:val="20"/>
        <w:spacing w:line="240" w:lineRule="auto"/>
        <w:ind w:firstLine="402"/>
        <w:rPr>
          <w:rFonts w:ascii="仿宋_GB2312" w:hAnsi="仿宋_GB2312" w:eastAsia="仿宋_GB2312" w:cs="仿宋_GB2312"/>
          <w:b/>
          <w:bCs/>
          <w:sz w:val="20"/>
          <w:szCs w:val="20"/>
        </w:rPr>
      </w:pPr>
    </w:p>
    <w:p>
      <w:pPr>
        <w:pStyle w:val="20"/>
        <w:ind w:firstLine="562"/>
        <w:rPr>
          <w:rFonts w:ascii="仿宋_GB2312" w:hAnsi="仿宋_GB2312" w:eastAsia="仿宋_GB2312" w:cs="仿宋_GB2312"/>
        </w:rPr>
      </w:pPr>
      <w:r>
        <w:rPr>
          <w:rFonts w:hint="eastAsia" w:ascii="仿宋_GB2312" w:hAnsi="仿宋_GB2312" w:eastAsia="仿宋_GB2312" w:cs="仿宋_GB2312"/>
          <w:b/>
          <w:bCs/>
        </w:rPr>
        <w:t>建材产业。</w:t>
      </w:r>
      <w:r>
        <w:rPr>
          <w:rFonts w:hint="eastAsia" w:ascii="仿宋_GB2312" w:hAnsi="仿宋_GB2312" w:eastAsia="仿宋_GB2312" w:cs="仿宋_GB2312"/>
        </w:rPr>
        <w:t>稳步发展传统建材，开拓发展新型建材，推动发展循环经济，加快建材产业结构升级。提升建材行业生产水平。有序发展水泥及水泥制品、制砖等传统建材产业，积极开发利用石材资源，全面提高传统建材行业集约化、专业化、精细化生产水平。引导企业向环保型建材发展。围绕“大项目-产品链-产业集群-产业基地”的发展方向，发展保温绝热、防水、环能等新型节能环保类建材和循环经济，推进矿渣、粉煤灰、煤矸石、脱硫石膏、建筑垃圾等固体废物综合利用。推进磷石膏湿拌砂浆环保建材项目建设，引导发展环境友好型建材企业，大力提升企业技术水平并鼓励申报高新技术企业。以治理煤矿固废污染为契机，利用煤矸石、矿渣等资源，先期在马临建成新型环保建材并逐步向全县推广。推进煤电建材一体化发展。加大二郎电厂、习水电厂脱硫石膏、粉煤灰工业固体废物利用，做大做强园区脱硫石膏板、加气混凝土砌块等企业。在东南片区乡镇开设建材厂，促进产业和区域经济发展。实施习水建材品牌培育计划，提升习水建材产品知名度。瞄准周边市场，拓宽销售市场，提高习水建材产品的市场占有率，建成黔川渝地区知名的新型建材产业基地。</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专栏6：建材产业重点项目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firstLine="480"/>
              <w:rPr>
                <w:rFonts w:ascii="仿宋_GB2312" w:hAnsi="仿宋_GB2312" w:eastAsia="仿宋_GB2312" w:cs="仿宋_GB2312"/>
                <w:sz w:val="24"/>
                <w:szCs w:val="24"/>
              </w:rPr>
            </w:pPr>
            <w:r>
              <w:rPr>
                <w:rFonts w:hint="eastAsia" w:ascii="楷体_GB2312" w:hAnsi="楷体_GB2312" w:eastAsia="楷体_GB2312" w:cs="楷体_GB2312"/>
                <w:sz w:val="24"/>
                <w:szCs w:val="24"/>
              </w:rPr>
              <w:t>习水县磷石膏湿拌砂浆环保建材项目、习水县新型建材生产线项目、习水县良村镇习石文化产业园区建设项目、习水县回龙镇石材园区项目、习水县装配式建筑新型墙体材料科技产业园建设项目、习水县机制砂石生产线建设项目、习水县金源石粉厂建设项目、习水县饰面石材矿山建设项目、习水县砂石土矿山建设项目。</w:t>
            </w:r>
          </w:p>
        </w:tc>
      </w:tr>
    </w:tbl>
    <w:p>
      <w:pPr>
        <w:pStyle w:val="5"/>
        <w:jc w:val="center"/>
        <w:rPr>
          <w:rFonts w:ascii="仿宋_GB2312" w:hAnsi="仿宋_GB2312" w:eastAsia="仿宋_GB2312" w:cs="仿宋_GB2312"/>
          <w:b/>
          <w:bCs/>
          <w:sz w:val="32"/>
          <w:szCs w:val="32"/>
        </w:rPr>
      </w:pPr>
      <w:bookmarkStart w:id="111" w:name="_Toc31768"/>
      <w:bookmarkStart w:id="112" w:name="_Toc17897"/>
      <w:bookmarkStart w:id="113" w:name="_Toc28803"/>
      <w:r>
        <w:rPr>
          <w:rFonts w:hint="eastAsia" w:ascii="仿宋_GB2312" w:hAnsi="仿宋_GB2312" w:eastAsia="仿宋_GB2312" w:cs="仿宋_GB2312"/>
          <w:b/>
          <w:bCs/>
          <w:sz w:val="32"/>
          <w:szCs w:val="32"/>
        </w:rPr>
        <w:t>第四节   积极培育食品工业</w:t>
      </w:r>
      <w:bookmarkEnd w:id="111"/>
      <w:bookmarkEnd w:id="112"/>
      <w:bookmarkEnd w:id="113"/>
    </w:p>
    <w:p>
      <w:pPr>
        <w:ind w:firstLine="562"/>
        <w:rPr>
          <w:rFonts w:ascii="仿宋_GB2312" w:hAnsi="仿宋_GB2312" w:eastAsia="仿宋_GB2312" w:cs="仿宋_GB2312"/>
        </w:rPr>
      </w:pPr>
      <w:r>
        <w:rPr>
          <w:rFonts w:hint="eastAsia" w:ascii="仿宋_GB2312" w:hAnsi="仿宋_GB2312" w:eastAsia="仿宋_GB2312" w:cs="仿宋_GB2312"/>
          <w:b/>
          <w:bCs/>
        </w:rPr>
        <w:t>培育壮大食品工业。</w:t>
      </w:r>
      <w:r>
        <w:rPr>
          <w:rFonts w:hint="eastAsia" w:ascii="仿宋_GB2312" w:hAnsi="仿宋_GB2312" w:eastAsia="仿宋_GB2312" w:cs="仿宋_GB2312"/>
        </w:rPr>
        <w:t>以良村大安食品工业园区为主阵地，加快实施园区改扩建工程及配套建设，引进和培育一批食品加工龙头企业，推动食品工业集群化发展。依托我县种植养殖业优势，围绕黔北麻羊、肉牛、生猪、家禽及花椒、辣椒等特色农产品，积极发展农产品深加工产业。全力打造农产品精深加工园区，提升园区平台服务能力。大力扶持以黔道食品有限公司、万牛牧业、习水德康农牧有限公司、永安君品羊肉加工厂为代表的食品工业龙头企业，力争新培育一批辐射面广、带动力强的农业龙头企业。鼓励龙头企业向农产品加工流通、电子商务和农业社会化服务方向延伸。围绕习水大树茶、红稗等国家地理标志产品，着力发展农特产品加工业。健全农产品营销网络，打造食品工业全产业链。鼓励龙头企业实施商标发展战略，开发多元化产品，打造自有品牌体系，提升核心竞争力。到2025年，力争培育食品工业省级龙头企业5个，市级龙头企业10个。</w:t>
      </w:r>
    </w:p>
    <w:p>
      <w:pPr>
        <w:ind w:firstLine="562"/>
        <w:rPr>
          <w:rFonts w:ascii="仿宋_GB2312" w:hAnsi="仿宋_GB2312" w:eastAsia="仿宋_GB2312" w:cs="仿宋_GB2312"/>
        </w:rPr>
      </w:pPr>
      <w:r>
        <w:rPr>
          <w:rFonts w:hint="eastAsia" w:ascii="仿宋_GB2312" w:hAnsi="仿宋_GB2312" w:eastAsia="仿宋_GB2312" w:cs="仿宋_GB2312"/>
          <w:b/>
          <w:bCs/>
        </w:rPr>
        <w:t>引导食品工业与旅游深度融合。</w:t>
      </w:r>
      <w:r>
        <w:rPr>
          <w:rFonts w:hint="eastAsia" w:ascii="仿宋_GB2312" w:hAnsi="仿宋_GB2312" w:eastAsia="仿宋_GB2312" w:cs="仿宋_GB2312"/>
        </w:rPr>
        <w:t>积极推动食品工业与旅游发展对接，不断扩充旅游商品类别，开发旅游纪念品、生态农特产品，借助旅游提升我县农特产品知名度和美誉度。</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专栏7：食品加工业项目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480"/>
              <w:rPr>
                <w:rFonts w:ascii="仿宋_GB2312" w:hAnsi="仿宋_GB2312" w:eastAsia="仿宋_GB2312" w:cs="仿宋_GB2312"/>
              </w:rPr>
            </w:pPr>
            <w:r>
              <w:rPr>
                <w:rFonts w:hint="eastAsia" w:ascii="楷体_GB2312" w:hAnsi="楷体_GB2312" w:eastAsia="楷体_GB2312" w:cs="楷体_GB2312"/>
                <w:sz w:val="24"/>
                <w:szCs w:val="24"/>
              </w:rPr>
              <w:t>习水县仙源镇方竹笋深加工项目、习水县大坡镇农特产品生产及深加工项目、习水县畜产品加工建设项目、习水县桃林镇沙溪丰河食品加工园项目、习水县红景粮油加工厂建设项目、习水县“一品红”公司辣椒加工生产建设项目、习水县火锅底料加工生产线建设项目、习水县泡菜加工生产线建设项目、习水县豆腐皮加工生产线建设项目、习水县猪肉肉联加工建设项目、习水县食用菌加工建设项目。</w:t>
            </w:r>
          </w:p>
        </w:tc>
      </w:tr>
    </w:tbl>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114" w:name="_Toc1958"/>
      <w:bookmarkStart w:id="115" w:name="_Toc19342"/>
      <w:bookmarkStart w:id="116" w:name="_Toc28020"/>
      <w:r>
        <w:rPr>
          <w:rFonts w:hint="eastAsia" w:ascii="方正小标宋简体" w:hAnsi="方正小标宋简体" w:eastAsia="方正小标宋简体" w:cs="方正小标宋简体"/>
          <w:b w:val="0"/>
          <w:bCs/>
          <w:sz w:val="32"/>
          <w:szCs w:val="32"/>
        </w:rPr>
        <w:t>第五章    推进农业现代化，着力优化“田园习水”</w:t>
      </w:r>
      <w:bookmarkEnd w:id="114"/>
      <w:bookmarkEnd w:id="115"/>
      <w:bookmarkEnd w:id="116"/>
    </w:p>
    <w:p>
      <w:pPr>
        <w:pStyle w:val="9"/>
        <w:spacing w:line="520" w:lineRule="exact"/>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坚持把解决好“三农”问题作为长期性的战略任务，深化农业产业革命，加快推进农业现代化，建设新时代美丽乡村，持续巩固拓展脱贫攻坚成果，全力打造“全国乡村振兴样板县”。推动农业全面升级、农村全面进步、农民全面发展，着力打造“田园习水”。</w:t>
      </w:r>
    </w:p>
    <w:p>
      <w:pPr>
        <w:pStyle w:val="5"/>
        <w:jc w:val="center"/>
        <w:rPr>
          <w:rFonts w:ascii="仿宋_GB2312" w:hAnsi="仿宋_GB2312" w:eastAsia="仿宋_GB2312" w:cs="仿宋_GB2312"/>
          <w:b/>
          <w:bCs/>
          <w:sz w:val="32"/>
          <w:szCs w:val="32"/>
        </w:rPr>
      </w:pPr>
      <w:bookmarkStart w:id="117" w:name="_Toc2921"/>
      <w:bookmarkStart w:id="118" w:name="_Toc5572"/>
      <w:bookmarkStart w:id="119" w:name="_Toc390"/>
      <w:bookmarkStart w:id="120" w:name="_Toc13964"/>
      <w:r>
        <w:rPr>
          <w:rFonts w:hint="eastAsia" w:ascii="仿宋_GB2312" w:hAnsi="仿宋_GB2312" w:eastAsia="仿宋_GB2312" w:cs="仿宋_GB2312"/>
          <w:b/>
          <w:bCs/>
          <w:sz w:val="32"/>
          <w:szCs w:val="32"/>
        </w:rPr>
        <w:t>第一节   谋划乡村振兴</w:t>
      </w:r>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bookmarkStart w:id="121" w:name="_Toc16269"/>
      <w:r>
        <w:rPr>
          <w:rFonts w:hint="eastAsia" w:ascii="仿宋_GB2312" w:hAnsi="仿宋_GB2312" w:eastAsia="仿宋_GB2312" w:cs="仿宋_GB2312"/>
          <w:b/>
          <w:bCs/>
        </w:rPr>
        <w:t>科学规划，统筹推进乡村振兴</w:t>
      </w:r>
      <w:bookmarkEnd w:id="121"/>
      <w:r>
        <w:rPr>
          <w:rFonts w:hint="eastAsia" w:ascii="仿宋_GB2312" w:hAnsi="仿宋_GB2312" w:eastAsia="仿宋_GB2312" w:cs="仿宋_GB2312"/>
        </w:rPr>
        <w:t>。结合《习水县乡村振兴战略规划》，细化乡村振兴战略行动年度计划，</w:t>
      </w:r>
      <w:r>
        <w:rPr>
          <w:rFonts w:hint="eastAsia" w:ascii="仿宋_GB2312" w:hAnsi="Times New Roman" w:eastAsia="仿宋_GB2312" w:cs="Times New Roman"/>
          <w:szCs w:val="32"/>
        </w:rPr>
        <w:t>按照产业兴旺、生态宜居、乡风文明、治理有效、生活富裕的总要求，以推动乡村产业振兴、乡村人才振兴、乡村文化振兴、乡村生态振兴、乡村组织振兴为重点</w:t>
      </w:r>
      <w:r>
        <w:rPr>
          <w:rFonts w:hint="eastAsia" w:ascii="仿宋_GB2312" w:hAnsi="仿宋_GB2312" w:eastAsia="仿宋_GB2312" w:cs="仿宋_GB2312"/>
        </w:rPr>
        <w:t>，明确各阶段发展目标、任务、阶段、步骤和策略，稳步推进乡村振兴。</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bookmarkStart w:id="122" w:name="_Toc14514"/>
      <w:r>
        <w:rPr>
          <w:rFonts w:hint="eastAsia" w:ascii="仿宋_GB2312" w:hAnsi="仿宋_GB2312" w:eastAsia="仿宋_GB2312" w:cs="仿宋_GB2312"/>
          <w:b/>
          <w:bCs/>
        </w:rPr>
        <w:t>探索试点，打造乡村振兴示范</w:t>
      </w:r>
      <w:bookmarkEnd w:id="122"/>
      <w:r>
        <w:rPr>
          <w:rFonts w:hint="eastAsia" w:ascii="仿宋_GB2312" w:hAnsi="仿宋_GB2312" w:eastAsia="仿宋_GB2312" w:cs="仿宋_GB2312"/>
          <w:b/>
          <w:bCs/>
        </w:rPr>
        <w:t>。</w:t>
      </w:r>
      <w:r>
        <w:rPr>
          <w:rFonts w:hint="eastAsia" w:ascii="仿宋_GB2312" w:hAnsi="仿宋_GB2312" w:eastAsia="仿宋_GB2312" w:cs="仿宋_GB2312"/>
        </w:rPr>
        <w:t>选择有条件的乡镇作为试点，联合申报设立国家和贵州省乡村发展综合改革试验区。在重点领域进行大胆探索，为全国提供乡村综合改革习水样本。选择一批发展基础较好的重点乡镇和重点行政村作为乡村振兴试点，在规划编制、投资项目安排、基础设施建设、生态环境治理方面给予倾斜支持，带动其他乡镇和乡村发展。</w:t>
      </w:r>
    </w:p>
    <w:p>
      <w:pPr>
        <w:pStyle w:val="5"/>
        <w:jc w:val="center"/>
        <w:rPr>
          <w:rFonts w:ascii="仿宋_GB2312" w:hAnsi="仿宋_GB2312" w:eastAsia="仿宋_GB2312" w:cs="仿宋_GB2312"/>
          <w:b/>
          <w:bCs/>
          <w:sz w:val="32"/>
          <w:szCs w:val="32"/>
        </w:rPr>
      </w:pPr>
      <w:bookmarkStart w:id="123" w:name="_Toc12173"/>
      <w:bookmarkStart w:id="124" w:name="_Toc13404"/>
      <w:bookmarkStart w:id="125" w:name="_Toc12567"/>
      <w:r>
        <w:rPr>
          <w:rFonts w:hint="eastAsia" w:ascii="仿宋_GB2312" w:hAnsi="仿宋_GB2312" w:eastAsia="仿宋_GB2312" w:cs="仿宋_GB2312"/>
          <w:b/>
          <w:bCs/>
          <w:sz w:val="32"/>
          <w:szCs w:val="32"/>
        </w:rPr>
        <w:t>第二节   推进农业现代化建设</w:t>
      </w:r>
      <w:bookmarkEnd w:id="123"/>
      <w:bookmarkEnd w:id="124"/>
      <w:bookmarkEnd w:id="125"/>
    </w:p>
    <w:p>
      <w:pPr>
        <w:pStyle w:val="7"/>
        <w:keepNext w:val="0"/>
        <w:keepLines w:val="0"/>
        <w:pageBreakBefore w:val="0"/>
        <w:widowControl w:val="0"/>
        <w:kinsoku/>
        <w:wordWrap/>
        <w:overflowPunct/>
        <w:topLinePunct w:val="0"/>
        <w:autoSpaceDE/>
        <w:autoSpaceDN/>
        <w:bidi w:val="0"/>
        <w:adjustRightInd/>
        <w:snapToGrid/>
        <w:spacing w:after="0"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稳字当头，稳定粮油面积和产量。</w:t>
      </w:r>
      <w:r>
        <w:rPr>
          <w:rFonts w:hint="eastAsia" w:ascii="仿宋_GB2312" w:hAnsi="仿宋_GB2312" w:eastAsia="仿宋_GB2312" w:cs="仿宋_GB2312"/>
        </w:rPr>
        <w:t>坚持“稳字当头”，围绕“稳政策、稳面积、稳产量”抓好粮油生产，确保粮食安全。实施藏粮于地战略，强化县、乡镇两级政府对粮食生产功能区和重要农产品生产保护区（“两区”）的管护责任，加强“两区”建设。加快坝区建设。高标准农田建设、农田水利建设优先支持“两区”和坝区。到2025年，稳定粮食面积在</w:t>
      </w:r>
      <w:r>
        <w:rPr>
          <w:rFonts w:hint="eastAsia" w:ascii="仿宋_GB2312" w:hAnsi="仿宋_GB2312" w:eastAsia="仿宋_GB2312" w:cs="仿宋_GB2312"/>
          <w:lang w:val="en-US" w:eastAsia="zh-CN"/>
        </w:rPr>
        <w:t>120</w:t>
      </w:r>
      <w:r>
        <w:rPr>
          <w:rFonts w:hint="eastAsia" w:ascii="仿宋_GB2312" w:hAnsi="仿宋_GB2312" w:eastAsia="仿宋_GB2312" w:cs="仿宋_GB2312"/>
        </w:rPr>
        <w:t>万亩以上，产量2</w:t>
      </w:r>
      <w:r>
        <w:rPr>
          <w:rFonts w:hint="eastAsia" w:ascii="仿宋_GB2312" w:hAnsi="仿宋_GB2312" w:eastAsia="仿宋_GB2312" w:cs="仿宋_GB2312"/>
          <w:lang w:val="en-US" w:eastAsia="zh-CN"/>
        </w:rPr>
        <w:t>6</w:t>
      </w:r>
      <w:r>
        <w:rPr>
          <w:rFonts w:hint="eastAsia" w:ascii="仿宋_GB2312" w:hAnsi="仿宋_GB2312" w:eastAsia="仿宋_GB2312" w:cs="仿宋_GB2312"/>
        </w:rPr>
        <w:t>万吨以上，油料8万亩以上，产量0.9万吨以上。</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立足市场，做优做亮红粮、麻羊产业。有机红粮：</w:t>
      </w:r>
      <w:r>
        <w:rPr>
          <w:rFonts w:hint="eastAsia" w:ascii="仿宋_GB2312" w:hAnsi="仿宋_GB2312" w:eastAsia="仿宋_GB2312" w:cs="仿宋_GB2312"/>
        </w:rPr>
        <w:t>以“民化—隆兴—习酒—回龙—桑木—二郎—良村—温水—仙源—永安—二里—桃林—官店—双龙”为有机高粱种植核心区，辐射周边区域。持续推进“龙头企业+基地+农户”的订单种植模式，大力建设高标准有机红粮基地。到2025年，稳定有机高粱种植面积</w:t>
      </w:r>
      <w:r>
        <w:rPr>
          <w:rFonts w:hint="eastAsia" w:ascii="仿宋_GB2312" w:hAnsi="仿宋_GB2312" w:eastAsia="仿宋_GB2312" w:cs="仿宋_GB2312"/>
          <w:lang w:val="en-US" w:eastAsia="zh-CN"/>
        </w:rPr>
        <w:t>40</w:t>
      </w:r>
      <w:r>
        <w:rPr>
          <w:rFonts w:hint="eastAsia" w:ascii="仿宋_GB2312" w:hAnsi="仿宋_GB2312" w:eastAsia="仿宋_GB2312" w:cs="仿宋_GB2312"/>
        </w:rPr>
        <w:t>万亩，产量7.5万吨。</w:t>
      </w:r>
      <w:r>
        <w:rPr>
          <w:rFonts w:hint="eastAsia" w:ascii="仿宋_GB2312" w:hAnsi="仿宋_GB2312" w:eastAsia="仿宋_GB2312" w:cs="仿宋_GB2312"/>
          <w:b/>
          <w:bCs/>
        </w:rPr>
        <w:t>麻羊产业：</w:t>
      </w:r>
      <w:r>
        <w:rPr>
          <w:rFonts w:hint="eastAsia" w:ascii="仿宋_GB2312" w:hAnsi="仿宋_GB2312" w:eastAsia="仿宋_GB2312" w:cs="仿宋_GB2312"/>
        </w:rPr>
        <w:t>抓住上海普陀区对口帮扶我县机遇，发挥习水特色麻羊产业资源优势，以习水县黔道食品有限公司中央厨房为龙头，培育更多地方龙头企业，持续做强经营主体。采取“龙头企业+新型经营主体+大户带散户”模式，强化黔北麻羊溯源管理平台建设，着手引进“羊管家”饲料等上下游企业，构建麻羊全产业链。力争到2025年，黔北麻羊饲养量达到100万只，麻羊产业产值达到10亿元以上。</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梯度发展，做精做特果蔬、畜牧产业。生态畜牧业</w:t>
      </w:r>
      <w:r>
        <w:rPr>
          <w:rFonts w:hint="eastAsia" w:ascii="仿宋_GB2312" w:hAnsi="仿宋_GB2312" w:eastAsia="仿宋_GB2312" w:cs="仿宋_GB2312"/>
        </w:rPr>
        <w:t>：围绕“良村—温水—仙源—双龙—官店—桃林—二里—永安—桑木—回龙—马临—隆兴”畜牧业发展带建设，以万牛牧业、德康集团等企业为引领，重点发展黔北麻羊、肉牛、肉鸡、生猪等山地生态畜牧业。力争到2025年，全县肉类总产量达到11.7万吨以上，畜禽规模化养殖量占总养殖量比例达70%以上，畜牧业产值占农业总产值比例达62%以上。</w:t>
      </w:r>
      <w:r>
        <w:rPr>
          <w:rFonts w:hint="eastAsia" w:ascii="仿宋_GB2312" w:hAnsi="仿宋_GB2312" w:eastAsia="仿宋_GB2312" w:cs="仿宋_GB2312"/>
          <w:b/>
          <w:bCs/>
        </w:rPr>
        <w:t>精品果蔬产业：</w:t>
      </w:r>
      <w:r>
        <w:rPr>
          <w:rFonts w:hint="eastAsia" w:ascii="仿宋_GB2312" w:hAnsi="仿宋_GB2312" w:eastAsia="仿宋_GB2312" w:cs="仿宋_GB2312"/>
        </w:rPr>
        <w:t>深入推进黔川渝结合部精品绿色果蔬基地和世界辣椒贸易与加工基地建设，充分利用我县高中低海拔差异，打造精品水果、早熟蔬菜、夏秋冷凉蔬菜三大商品果蔬产业带。力争到2025年，全县种植蔬菜42万亩，其中商品蔬菜（不含辣椒）10万亩。</w:t>
      </w:r>
    </w:p>
    <w:p>
      <w:pPr>
        <w:pStyle w:val="7"/>
        <w:keepNext w:val="0"/>
        <w:keepLines w:val="0"/>
        <w:pageBreakBefore w:val="0"/>
        <w:widowControl w:val="0"/>
        <w:tabs>
          <w:tab w:val="left" w:pos="7840"/>
        </w:tabs>
        <w:kinsoku/>
        <w:wordWrap/>
        <w:overflowPunct/>
        <w:topLinePunct w:val="0"/>
        <w:autoSpaceDE/>
        <w:autoSpaceDN/>
        <w:bidi w:val="0"/>
        <w:adjustRightInd/>
        <w:snapToGrid/>
        <w:spacing w:after="0" w:line="540" w:lineRule="exact"/>
        <w:ind w:right="-14" w:firstLine="562"/>
        <w:textAlignment w:val="auto"/>
        <w:rPr>
          <w:rFonts w:ascii="仿宋_GB2312" w:hAnsi="仿宋_GB2312" w:eastAsia="仿宋_GB2312" w:cs="仿宋_GB2312"/>
        </w:rPr>
      </w:pPr>
      <w:r>
        <w:rPr>
          <w:rFonts w:hint="eastAsia" w:ascii="仿宋_GB2312" w:hAnsi="仿宋_GB2312" w:eastAsia="仿宋_GB2312" w:cs="仿宋_GB2312"/>
          <w:b/>
          <w:bCs/>
        </w:rPr>
        <w:t>优化结构，大力发展高效农业。花椒产业：</w:t>
      </w:r>
      <w:r>
        <w:rPr>
          <w:rFonts w:hint="eastAsia" w:ascii="仿宋_GB2312" w:hAnsi="仿宋_GB2312" w:eastAsia="仿宋_GB2312" w:cs="仿宋_GB2312"/>
        </w:rPr>
        <w:t>综合考虑花椒种植特点、经济效益与我县地形，整合全县山地、坡地等零碎土地，鼓励农户大面积种植花椒，大力发展花椒产业。</w:t>
      </w:r>
      <w:r>
        <w:rPr>
          <w:rFonts w:hint="eastAsia" w:ascii="仿宋_GB2312" w:hAnsi="仿宋_GB2312" w:eastAsia="仿宋_GB2312" w:cs="仿宋_GB2312"/>
          <w:b/>
          <w:bCs/>
        </w:rPr>
        <w:t>中药材产业：</w:t>
      </w:r>
      <w:r>
        <w:rPr>
          <w:rFonts w:hint="eastAsia" w:ascii="仿宋_GB2312" w:hAnsi="仿宋_GB2312" w:eastAsia="仿宋_GB2312" w:cs="仿宋_GB2312"/>
        </w:rPr>
        <w:t>以生态保育为前提，通过“公司+农户”或“公司+合作社+农户”的形式，适度发展油厚朴、杜仲、黄柏、金银花、黄精、白芨等中药材种植产业。力争到2025年，全县种植中药材30万亩。</w:t>
      </w:r>
      <w:r>
        <w:rPr>
          <w:rFonts w:hint="eastAsia" w:ascii="仿宋_GB2312" w:hAnsi="仿宋_GB2312" w:eastAsia="仿宋_GB2312" w:cs="仿宋_GB2312"/>
          <w:b/>
          <w:bCs/>
        </w:rPr>
        <w:t>烤烟产业：</w:t>
      </w:r>
      <w:r>
        <w:rPr>
          <w:rFonts w:hint="eastAsia" w:ascii="仿宋_GB2312" w:hAnsi="仿宋_GB2312" w:eastAsia="仿宋_GB2312" w:cs="仿宋_GB2312"/>
        </w:rPr>
        <w:t>依托吼滩烤烟科技示范园，适度发展山地蜜甜香型生态特色烟。力争到2025年，建成优质烤烟面积2万亩以上。</w:t>
      </w:r>
      <w:r>
        <w:rPr>
          <w:rFonts w:hint="eastAsia" w:ascii="仿宋_GB2312" w:hAnsi="仿宋_GB2312" w:eastAsia="仿宋_GB2312" w:cs="仿宋_GB2312"/>
          <w:b/>
          <w:bCs/>
        </w:rPr>
        <w:t>辣椒产业：</w:t>
      </w:r>
      <w:r>
        <w:rPr>
          <w:rFonts w:hint="eastAsia" w:ascii="仿宋_GB2312" w:hAnsi="仿宋_GB2312" w:eastAsia="仿宋_GB2312" w:cs="仿宋_GB2312"/>
        </w:rPr>
        <w:t>依托一品红等辣椒加工企业为龙头，打造一批辣椒种植基地，带动一批辣椒加工企业。力争到 2025 年，建成辣椒种植基地10万亩。</w:t>
      </w:r>
      <w:r>
        <w:rPr>
          <w:rFonts w:hint="eastAsia" w:ascii="仿宋_GB2312" w:hAnsi="仿宋_GB2312" w:eastAsia="仿宋_GB2312" w:cs="仿宋_GB2312"/>
          <w:b/>
          <w:bCs/>
        </w:rPr>
        <w:t>大树茶产业：</w:t>
      </w:r>
      <w:r>
        <w:rPr>
          <w:rFonts w:hint="eastAsia" w:ascii="仿宋_GB2312" w:hAnsi="仿宋_GB2312" w:eastAsia="仿宋_GB2312" w:cs="仿宋_GB2312"/>
        </w:rPr>
        <w:t>以全县大树茶特色资源为基础，强化质量安全、品质品牌和市场营销，打造“大树茶”特色名片，力争到2025年，实现产值5000万元。</w:t>
      </w:r>
      <w:r>
        <w:rPr>
          <w:rFonts w:hint="eastAsia" w:ascii="仿宋_GB2312" w:hAnsi="仿宋_GB2312" w:eastAsia="仿宋_GB2312" w:cs="仿宋_GB2312"/>
          <w:b/>
          <w:bCs/>
        </w:rPr>
        <w:t>坝区产业：</w:t>
      </w:r>
      <w:r>
        <w:rPr>
          <w:rFonts w:hint="eastAsia" w:ascii="仿宋_GB2312" w:hAnsi="仿宋_GB2312" w:eastAsia="仿宋_GB2312" w:cs="仿宋_GB2312"/>
        </w:rPr>
        <w:t>按“4+N”坝区产业空间布局，县级层面着力培育4个500亩以上坝区，乡镇层面着力建设500亩以下坝区。杜绝坝区低效作物种植，鼓励种植蔬菜、水果（草本）、中草药（草本）、烤烟、优质粮油等替代作物，实现坝区产业结构大调整。力争到2025年，将坝区打造成为以蔬菜、水果（草本）、优质粮油为主导的农业科技示范田、样板田，实现年产值3万元/亩。</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加快推进农业园区建设。</w:t>
      </w:r>
      <w:r>
        <w:rPr>
          <w:rFonts w:hint="eastAsia" w:ascii="仿宋_GB2312" w:hAnsi="仿宋_GB2312" w:eastAsia="仿宋_GB2312" w:cs="仿宋_GB2312"/>
        </w:rPr>
        <w:t>依托特色产业资源，以全县4个规模坝区为基础，围绕农产品加工，做好产业组织化、集约化生产，延长产业链。以丁山坝国家农业公园等省级高效农业园区为载体，提升种养规模化、标准化。以农特产品工业园区为依托，引导和培育农特产品精深加工，推动“互联网+”农产品出村进城广泛开展产销对接，培育一批以种养为基础、以加工为纽带、以商贸物流为支撑的产业形态。以创建国家现代农业产业园为主线，探索推进“农产品中产中试、试场中试”经验，实现农产品加工业从加工到制造、从制造到创造的演变。到2025年，农产品加工园力争实现产值</w:t>
      </w:r>
      <w:r>
        <w:rPr>
          <w:rFonts w:ascii="仿宋_GB2312" w:hAnsi="仿宋_GB2312" w:eastAsia="仿宋_GB2312" w:cs="仿宋_GB2312"/>
        </w:rPr>
        <w:t>3</w:t>
      </w:r>
      <w:r>
        <w:rPr>
          <w:rFonts w:hint="eastAsia" w:ascii="仿宋_GB2312" w:hAnsi="仿宋_GB2312" w:eastAsia="仿宋_GB2312" w:cs="仿宋_GB2312"/>
        </w:rPr>
        <w:t>0亿元。</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hint="eastAsia" w:ascii="仿宋_GB2312" w:hAnsi="仿宋_GB2312" w:eastAsia="仿宋_GB2312" w:cs="仿宋_GB2312"/>
        </w:rPr>
      </w:pPr>
      <w:r>
        <w:rPr>
          <w:rFonts w:hint="eastAsia" w:ascii="仿宋_GB2312" w:hAnsi="仿宋_GB2312" w:eastAsia="仿宋_GB2312" w:cs="仿宋_GB2312"/>
          <w:b/>
          <w:bCs/>
        </w:rPr>
        <w:t>着力推进现代化养殖基地建设。</w:t>
      </w:r>
      <w:r>
        <w:rPr>
          <w:rFonts w:hint="eastAsia" w:ascii="仿宋_GB2312" w:hAnsi="仿宋_GB2312" w:eastAsia="仿宋_GB2312" w:cs="仿宋_GB2312"/>
        </w:rPr>
        <w:t>充分利用酒糟资源与草山草坡资源、闲置耕地和非耕地，建设大型酒糟饲料生产基地。着力推进麻羊、肉牛、生猪生态化现代化养殖基地建设。继续探索野猪、娃娃鱼等特色养殖，建设特色畜牧养殖基地。</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专栏8：重点农业项目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7" w:hRule="atLeast"/>
        </w:trPr>
        <w:tc>
          <w:tcPr>
            <w:tcW w:w="8522" w:type="dxa"/>
          </w:tcPr>
          <w:p>
            <w:pPr>
              <w:spacing w:line="50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rPr>
              <w:t>1、农业园区项目</w:t>
            </w:r>
            <w:r>
              <w:rPr>
                <w:rFonts w:hint="eastAsia" w:ascii="楷体_GB2312" w:hAnsi="楷体_GB2312" w:eastAsia="楷体_GB2312" w:cs="楷体_GB2312"/>
                <w:sz w:val="24"/>
                <w:szCs w:val="24"/>
              </w:rPr>
              <w:t>：习水县吼滩农业观光园建设项目、习水县寨坝镇条台片区农旅产业融合发展项目、习水县马临街道沔山村农旅一体化项目、习水县现代生态农业旅游观光项目、习水县官店镇农旅一体示范园区项目、习水县桃林镇天隆村有机循环农业观光示范园项目、</w:t>
            </w:r>
            <w:r>
              <w:rPr>
                <w:rFonts w:hint="eastAsia" w:ascii="楷体_GB2312" w:hAnsi="楷体_GB2312" w:eastAsia="楷体_GB2312" w:cs="楷体_GB2312"/>
                <w:sz w:val="24"/>
                <w:szCs w:val="24"/>
                <w:lang w:eastAsia="zh-CN"/>
              </w:rPr>
              <w:t>习水县民化镇红柚谷农旅观光体验园项目、</w:t>
            </w:r>
            <w:r>
              <w:rPr>
                <w:rFonts w:hint="eastAsia" w:ascii="楷体_GB2312" w:hAnsi="楷体_GB2312" w:eastAsia="楷体_GB2312" w:cs="楷体_GB2312"/>
                <w:sz w:val="24"/>
                <w:szCs w:val="24"/>
              </w:rPr>
              <w:t xml:space="preserve">习水县庄园农业建设项目（休闲农庄）、习水县农产品加工园区扩建项目、习水县生猪产业化循环农业示范园区、习水县黔北麻羊生态养殖示范园区、习水县同民现代高效农业示范园区、习水县山地生态畜牧示范区。 </w:t>
            </w:r>
          </w:p>
          <w:p>
            <w:pPr>
              <w:spacing w:line="50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rPr>
              <w:t>2、养殖类项目：</w:t>
            </w:r>
            <w:r>
              <w:rPr>
                <w:rFonts w:hint="eastAsia" w:ascii="楷体_GB2312" w:hAnsi="楷体_GB2312" w:eastAsia="楷体_GB2312" w:cs="楷体_GB2312"/>
                <w:sz w:val="24"/>
                <w:szCs w:val="24"/>
              </w:rPr>
              <w:t>习水县回龙镇15万头生猪专业养殖项目、习水县醒民镇仔猪基地建设项目、习水县生猪智能养殖系统建设项目、习水县民化镇沙溪规模化养殖基地建设项目、习水县年出栏100头肉牛场建设项目、习水县黔北麻羊产业生态养殖园区升级建设项目、习水县民化镇顺龙规模化养殖基地建设项目、习水县三岔河镇天水池村生态畜牧业建设项目、习水县黔北麻羊养殖大户建设、习水县黔北麻羊家庭农场建设。</w:t>
            </w:r>
          </w:p>
          <w:p>
            <w:pPr>
              <w:spacing w:line="50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rPr>
              <w:t>3、种植类项目：</w:t>
            </w:r>
            <w:r>
              <w:rPr>
                <w:rFonts w:hint="eastAsia" w:ascii="楷体_GB2312" w:hAnsi="楷体_GB2312" w:eastAsia="楷体_GB2312" w:cs="楷体_GB2312"/>
                <w:sz w:val="24"/>
                <w:szCs w:val="24"/>
              </w:rPr>
              <w:t>习水县大坡镇稻田+项目、习水县优质大米基地建设项目、习水县南部片区乡镇烤烟种植建设项目、习水县有机红梁基地建设项目、习水县古树茶山保护与开发利用建设项目、习水县方竹产业基地建设项目、习水县苗木花卉基地建设项目、习水县30万亩花椒交易中心和深加工项目。</w:t>
            </w:r>
          </w:p>
          <w:p>
            <w:pPr>
              <w:spacing w:line="500" w:lineRule="exact"/>
              <w:ind w:firstLine="482"/>
              <w:rPr>
                <w:rFonts w:ascii="仿宋_GB2312" w:hAnsi="仿宋_GB2312" w:eastAsia="仿宋_GB2312" w:cs="仿宋_GB2312"/>
              </w:rPr>
            </w:pPr>
            <w:r>
              <w:rPr>
                <w:rFonts w:hint="eastAsia" w:ascii="楷体_GB2312" w:hAnsi="楷体_GB2312" w:eastAsia="楷体_GB2312" w:cs="楷体_GB2312"/>
                <w:b/>
                <w:bCs/>
                <w:sz w:val="24"/>
                <w:szCs w:val="24"/>
              </w:rPr>
              <w:t>4、其他类项目：</w:t>
            </w:r>
            <w:r>
              <w:rPr>
                <w:rFonts w:hint="eastAsia" w:ascii="楷体_GB2312" w:hAnsi="楷体_GB2312" w:eastAsia="楷体_GB2312" w:cs="楷体_GB2312"/>
                <w:sz w:val="24"/>
                <w:szCs w:val="24"/>
              </w:rPr>
              <w:t>习水县现代农业机械化示范工程、习水县“十四五”高标准农田建设项目、习水县2021年土地整治项目、习水县500亩以上坝区基础设施建设项目、习水县多彩习水农产品品牌打造项目、习水县林下经济建设项目、习水县林业产业提质增效项目。</w:t>
            </w:r>
          </w:p>
        </w:tc>
      </w:tr>
    </w:tbl>
    <w:p>
      <w:pPr>
        <w:ind w:firstLine="562"/>
        <w:rPr>
          <w:rFonts w:ascii="仿宋_GB2312" w:hAnsi="仿宋_GB2312" w:eastAsia="仿宋_GB2312" w:cs="仿宋_GB2312"/>
          <w:b/>
          <w:bCs/>
        </w:rPr>
      </w:pPr>
    </w:p>
    <w:p>
      <w:pPr>
        <w:spacing w:line="510" w:lineRule="exact"/>
        <w:ind w:firstLine="562"/>
        <w:rPr>
          <w:rFonts w:ascii="仿宋_GB2312" w:hAnsi="仿宋_GB2312" w:eastAsia="仿宋_GB2312" w:cs="仿宋_GB2312"/>
        </w:rPr>
      </w:pPr>
      <w:r>
        <w:rPr>
          <w:rFonts w:hint="eastAsia" w:ascii="仿宋_GB2312" w:hAnsi="仿宋_GB2312" w:eastAsia="仿宋_GB2312" w:cs="仿宋_GB2312"/>
          <w:b/>
          <w:bCs/>
        </w:rPr>
        <w:t>构建现代农业产业体系。</w:t>
      </w:r>
      <w:r>
        <w:rPr>
          <w:rFonts w:hint="eastAsia" w:ascii="仿宋_GB2312" w:hAnsi="仿宋_GB2312" w:eastAsia="仿宋_GB2312" w:cs="仿宋_GB2312"/>
        </w:rPr>
        <w:t>深入推进农业供给侧结构性改革，调整农业种养结构，优化农村产业结构。立足区域优势，做大做强有机红粮和黔北麻羊两大优势产业。坚持农林牧渔结合，实行“种养加”一体化发展。坚持“农业+”思维，拓展“农业+旅游”“农业+康养”“农业+食品加工”“农业+电商”等发展模式，推动一二三产融合发展。以乡村服务业为纽带，通过构建工农互补、三产融合的现代化特色服务业体系，大力振兴乡村经济。加强农产品区域品牌和国家农产品地理标志建设，提升我县农产品市场竞争力。</w:t>
      </w:r>
    </w:p>
    <w:p>
      <w:pPr>
        <w:spacing w:line="510" w:lineRule="exact"/>
        <w:ind w:firstLine="562"/>
        <w:rPr>
          <w:rFonts w:ascii="仿宋_GB2312" w:hAnsi="仿宋_GB2312" w:eastAsia="仿宋_GB2312" w:cs="仿宋_GB2312"/>
        </w:rPr>
      </w:pPr>
      <w:r>
        <w:rPr>
          <w:rFonts w:hint="eastAsia" w:ascii="仿宋_GB2312" w:hAnsi="仿宋_GB2312" w:eastAsia="仿宋_GB2312" w:cs="仿宋_GB2312"/>
          <w:b/>
          <w:bCs/>
        </w:rPr>
        <w:t>构建现代农业生产体系。</w:t>
      </w:r>
      <w:r>
        <w:rPr>
          <w:rFonts w:hint="eastAsia" w:ascii="仿宋_GB2312" w:hAnsi="仿宋_GB2312" w:eastAsia="仿宋_GB2312" w:cs="仿宋_GB2312"/>
        </w:rPr>
        <w:t>完善农业生产设施建设，促进农业生产机械化，重点解决农业的发展动力和生产效率问题。大力推进绿色生产，提升农业规模化、标准化、电商化、绿色化水平，提高农业资源利用率、土地产出率和劳动生产率，增强农业综合生产能力和抗风险能力。</w:t>
      </w:r>
    </w:p>
    <w:p>
      <w:pPr>
        <w:spacing w:line="510" w:lineRule="exact"/>
        <w:ind w:firstLine="562"/>
        <w:rPr>
          <w:rFonts w:ascii="仿宋_GB2312" w:hAnsi="仿宋_GB2312" w:eastAsia="仿宋_GB2312" w:cs="仿宋_GB2312"/>
        </w:rPr>
      </w:pPr>
      <w:r>
        <w:rPr>
          <w:rFonts w:hint="eastAsia" w:ascii="仿宋_GB2312" w:hAnsi="仿宋_GB2312" w:eastAsia="仿宋_GB2312" w:cs="仿宋_GB2312"/>
          <w:b/>
          <w:bCs/>
        </w:rPr>
        <w:t>构建现代农业经营体系。</w:t>
      </w:r>
      <w:r>
        <w:rPr>
          <w:rFonts w:hint="eastAsia" w:ascii="仿宋_GB2312" w:hAnsi="仿宋_GB2312" w:eastAsia="仿宋_GB2312" w:cs="仿宋_GB2312"/>
        </w:rPr>
        <w:t>继续深化农村土地所有权、承包权、经营权“三权”分置改革，深化农村集体产权制度改革，通过土地流转、股份合作、代耕代种、土地托管等方式促进农业规模经营。发展、培育多种经营方式，壮大专业大户、家庭农场、农民合作社、农业企业等新型经营主体，推动家庭经营、集体经营、合作经营、企业经营共同发展。</w:t>
      </w:r>
    </w:p>
    <w:p>
      <w:pPr>
        <w:pStyle w:val="5"/>
        <w:jc w:val="center"/>
        <w:rPr>
          <w:rFonts w:ascii="仿宋_GB2312" w:hAnsi="仿宋_GB2312" w:eastAsia="仿宋_GB2312" w:cs="仿宋_GB2312"/>
          <w:b/>
          <w:bCs/>
          <w:sz w:val="32"/>
          <w:szCs w:val="32"/>
        </w:rPr>
      </w:pPr>
      <w:bookmarkStart w:id="126" w:name="_Toc130"/>
      <w:bookmarkStart w:id="127" w:name="_Toc29928"/>
      <w:bookmarkStart w:id="128" w:name="_Toc1519"/>
      <w:r>
        <w:rPr>
          <w:rFonts w:hint="eastAsia" w:ascii="仿宋_GB2312" w:hAnsi="仿宋_GB2312" w:eastAsia="仿宋_GB2312" w:cs="仿宋_GB2312"/>
          <w:b/>
          <w:bCs/>
          <w:sz w:val="32"/>
          <w:szCs w:val="32"/>
        </w:rPr>
        <w:t>第三节   助力农民增收致富</w:t>
      </w:r>
      <w:bookmarkEnd w:id="126"/>
      <w:bookmarkEnd w:id="127"/>
      <w:bookmarkEnd w:id="128"/>
    </w:p>
    <w:p>
      <w:pPr>
        <w:ind w:firstLine="562"/>
        <w:rPr>
          <w:rFonts w:ascii="仿宋_GB2312" w:hAnsi="仿宋_GB2312" w:eastAsia="仿宋_GB2312" w:cs="仿宋_GB2312"/>
        </w:rPr>
      </w:pPr>
      <w:r>
        <w:rPr>
          <w:rFonts w:hint="eastAsia" w:ascii="仿宋_GB2312" w:hAnsi="仿宋_GB2312" w:eastAsia="仿宋_GB2312" w:cs="仿宋_GB2312"/>
          <w:b/>
          <w:bCs/>
        </w:rPr>
        <w:t>提升农村设施建设</w:t>
      </w:r>
      <w:r>
        <w:rPr>
          <w:rFonts w:hint="eastAsia" w:ascii="仿宋_GB2312" w:hAnsi="仿宋_GB2312" w:eastAsia="仿宋_GB2312" w:cs="仿宋_GB2312"/>
        </w:rPr>
        <w:t>。结合我县产业发展与城乡建设，深入推进“四在农家·美丽乡村”和“6+1”行动计划，打通农村基础设施“最后一公里”。实施交通物流保障、乡村安全用电、乡村供水保障、农产品保鲜、农田标准化建设、防灾减灾体系建设、农业设备现代化、乡村信息化等八大工程，构建乡村振兴基础保障体系。</w:t>
      </w:r>
    </w:p>
    <w:p>
      <w:pPr>
        <w:ind w:firstLine="562"/>
        <w:rPr>
          <w:rFonts w:ascii="仿宋_GB2312" w:hAnsi="仿宋_GB2312" w:eastAsia="仿宋_GB2312" w:cs="仿宋_GB2312"/>
        </w:rPr>
      </w:pPr>
      <w:r>
        <w:rPr>
          <w:rFonts w:hint="eastAsia" w:ascii="仿宋_GB2312" w:hAnsi="仿宋_GB2312" w:eastAsia="仿宋_GB2312" w:cs="仿宋_GB2312"/>
          <w:b/>
          <w:bCs/>
        </w:rPr>
        <w:t>加强农村人才队伍建设。</w:t>
      </w:r>
      <w:r>
        <w:rPr>
          <w:rFonts w:hint="eastAsia" w:ascii="仿宋_GB2312" w:hAnsi="仿宋_GB2312" w:eastAsia="仿宋_GB2312" w:cs="仿宋_GB2312"/>
        </w:rPr>
        <w:t>加强农村实用人才培养，围绕农民职业化目标，构建现代职业农民教育体系，培育职业农民。以乡情乡愁为纽带，制定人才返乡激励措施，支持人才返乡创业。实施新乡贤培育与成长工程，建立完善新乡贤吸纳机制，培育壮大新乡贤队伍。依托良村职业学校，培养造就一批乡村领军人才和乡土人才。</w:t>
      </w:r>
    </w:p>
    <w:p>
      <w:pPr>
        <w:ind w:firstLine="562"/>
        <w:rPr>
          <w:rFonts w:ascii="仿宋_GB2312" w:hAnsi="仿宋_GB2312" w:eastAsia="仿宋_GB2312" w:cs="仿宋_GB2312"/>
        </w:rPr>
      </w:pPr>
      <w:r>
        <w:rPr>
          <w:rFonts w:hint="eastAsia" w:ascii="仿宋_GB2312" w:hAnsi="仿宋_GB2312" w:eastAsia="仿宋_GB2312" w:cs="仿宋_GB2312"/>
          <w:b/>
          <w:bCs/>
        </w:rPr>
        <w:t>消除农民增收“堵点”。</w:t>
      </w:r>
      <w:r>
        <w:rPr>
          <w:rFonts w:hint="eastAsia" w:ascii="仿宋_GB2312" w:hAnsi="仿宋_GB2312" w:eastAsia="仿宋_GB2312" w:cs="仿宋_GB2312"/>
        </w:rPr>
        <w:t>开展“互联网+”专项行动，促进互联网+、物联网、云计算、大数据等技术在乡村各个领域应用。建设乡村三产融合的物联网云平台，切实解决农民在生产过程中的各种问题，打造贵州“互联网+”助力乡村发展示范样板。加快推进电商帮扶专项行动，针对我县农产品“运输难、存储难、销售难”的特点，与天猫、抖音等网络电商平台深入合作，扩大乡村电子商务覆盖面，推进电商企业、专业服务机构、快递物流等要素向乡村集聚，解决农民增收难题。力争到2025年，培育乡村电子商务企业26家，带动300户以上农民致富。</w:t>
      </w:r>
    </w:p>
    <w:p>
      <w:pPr>
        <w:ind w:firstLine="562"/>
        <w:rPr>
          <w:rFonts w:ascii="仿宋_GB2312" w:hAnsi="仿宋_GB2312" w:eastAsia="仿宋_GB2312" w:cs="仿宋_GB2312"/>
        </w:rPr>
      </w:pPr>
      <w:r>
        <w:rPr>
          <w:rFonts w:hint="eastAsia" w:ascii="仿宋_GB2312" w:hAnsi="仿宋_GB2312" w:eastAsia="仿宋_GB2312" w:cs="仿宋_GB2312"/>
          <w:b/>
          <w:bCs/>
        </w:rPr>
        <w:t>促进农民增收致富。</w:t>
      </w:r>
      <w:r>
        <w:rPr>
          <w:rFonts w:hint="eastAsia" w:ascii="仿宋_GB2312" w:hAnsi="仿宋_GB2312" w:eastAsia="仿宋_GB2312" w:cs="仿宋_GB2312"/>
        </w:rPr>
        <w:t>加大政府在信息、技术、市场等方面的服务力度，引导社会资金参与乡村振兴，促进农民增收。优化完善各项农业补贴制度，逐步增加城乡居民养老和医疗保险保障，逐步提高农村最低生活保障和五保水平，增加农民转移性收入。加快推进农村产权制度改革，保障农民合法权益，拓宽租金、股金、红利等收入增长渠道，增加农户财产性收入。</w:t>
      </w:r>
    </w:p>
    <w:p>
      <w:pPr>
        <w:pStyle w:val="5"/>
        <w:jc w:val="center"/>
        <w:rPr>
          <w:rFonts w:ascii="仿宋_GB2312" w:hAnsi="仿宋_GB2312" w:eastAsia="仿宋_GB2312" w:cs="仿宋_GB2312"/>
          <w:b/>
          <w:bCs/>
          <w:sz w:val="32"/>
          <w:szCs w:val="32"/>
        </w:rPr>
      </w:pPr>
      <w:bookmarkStart w:id="129" w:name="_Toc17367"/>
      <w:bookmarkStart w:id="130" w:name="_Toc16465"/>
      <w:bookmarkStart w:id="131" w:name="_Toc14520"/>
      <w:r>
        <w:rPr>
          <w:rFonts w:hint="eastAsia" w:ascii="仿宋_GB2312" w:hAnsi="仿宋_GB2312" w:eastAsia="仿宋_GB2312" w:cs="仿宋_GB2312"/>
          <w:b/>
          <w:bCs/>
          <w:sz w:val="32"/>
          <w:szCs w:val="32"/>
        </w:rPr>
        <w:t>第四节   打造生态宜居新示范</w:t>
      </w:r>
      <w:bookmarkEnd w:id="129"/>
      <w:bookmarkEnd w:id="130"/>
      <w:bookmarkEnd w:id="131"/>
    </w:p>
    <w:p>
      <w:pPr>
        <w:ind w:firstLine="562"/>
        <w:rPr>
          <w:rFonts w:ascii="仿宋_GB2312" w:hAnsi="仿宋_GB2312" w:eastAsia="仿宋_GB2312" w:cs="仿宋_GB2312"/>
        </w:rPr>
      </w:pPr>
      <w:r>
        <w:rPr>
          <w:rFonts w:hint="eastAsia" w:ascii="仿宋_GB2312" w:hAnsi="仿宋_GB2312" w:eastAsia="仿宋_GB2312" w:cs="仿宋_GB2312"/>
          <w:b/>
          <w:bCs/>
        </w:rPr>
        <w:t>科学规划提升乡村空间布局。</w:t>
      </w:r>
      <w:r>
        <w:rPr>
          <w:rFonts w:hint="eastAsia" w:ascii="仿宋_GB2312" w:hAnsi="仿宋_GB2312" w:eastAsia="仿宋_GB2312" w:cs="仿宋_GB2312"/>
        </w:rPr>
        <w:t>按照“选址科学、环境优美、整体协调、功能完善”的原则，进一步修订完善村镇体系规划，积极稳妥推进迁村并点，合理确定农村社区和中心村寨布局。加强中心村、特色村配套基础设施建设，完善公共服务体系，引导人口向中心村集聚。有序推进农村村庄化、村庄社区化建设。</w:t>
      </w:r>
    </w:p>
    <w:p>
      <w:pPr>
        <w:ind w:firstLine="562"/>
        <w:rPr>
          <w:rFonts w:ascii="仿宋_GB2312" w:hAnsi="仿宋_GB2312" w:eastAsia="仿宋_GB2312" w:cs="仿宋_GB2312"/>
        </w:rPr>
      </w:pPr>
      <w:r>
        <w:rPr>
          <w:rFonts w:hint="eastAsia" w:ascii="仿宋_GB2312" w:hAnsi="仿宋_GB2312" w:eastAsia="仿宋_GB2312" w:cs="仿宋_GB2312"/>
          <w:b/>
          <w:bCs/>
        </w:rPr>
        <w:t>分步推进提升农村人居环境。</w:t>
      </w:r>
      <w:r>
        <w:rPr>
          <w:rFonts w:hint="eastAsia" w:ascii="仿宋_GB2312" w:hAnsi="仿宋_GB2312" w:eastAsia="仿宋_GB2312" w:cs="仿宋_GB2312"/>
        </w:rPr>
        <w:t>加快实施小康村寨整县推进和农村环境综合整治整县推进计划，分类指导“三类”小康寨建设。大力实施黔北民居提档升级工程。建立有制度、有标准、有队伍、有经费、有督查的村庄人居环境管护长效机制。</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专栏9：改善农村环境项目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 xml:space="preserve">习水县“十四五”农村厕所建设项目、习水县农村垃圾收运设施建设项目、贵州脱贫攻坚城乡供水巩固提升工程习水县项目。 </w:t>
            </w:r>
          </w:p>
        </w:tc>
      </w:tr>
    </w:tbl>
    <w:p>
      <w:pPr>
        <w:spacing w:line="240" w:lineRule="exact"/>
        <w:ind w:firstLine="562"/>
        <w:rPr>
          <w:rFonts w:ascii="仿宋_GB2312" w:hAnsi="仿宋_GB2312" w:eastAsia="仿宋_GB2312" w:cs="仿宋_GB2312"/>
          <w:b/>
          <w:bCs/>
        </w:rPr>
      </w:pPr>
    </w:p>
    <w:p>
      <w:pPr>
        <w:ind w:firstLine="562"/>
        <w:rPr>
          <w:rFonts w:ascii="仿宋_GB2312" w:hAnsi="仿宋_GB2312" w:eastAsia="仿宋_GB2312" w:cs="仿宋_GB2312"/>
        </w:rPr>
      </w:pPr>
      <w:r>
        <w:rPr>
          <w:rFonts w:hint="eastAsia" w:ascii="仿宋_GB2312" w:hAnsi="仿宋_GB2312" w:eastAsia="仿宋_GB2312" w:cs="仿宋_GB2312"/>
          <w:b/>
          <w:bCs/>
        </w:rPr>
        <w:t>以人为本提升公共服务品质。</w:t>
      </w:r>
      <w:r>
        <w:rPr>
          <w:rFonts w:hint="eastAsia" w:ascii="仿宋_GB2312" w:hAnsi="仿宋_GB2312" w:eastAsia="仿宋_GB2312" w:cs="仿宋_GB2312"/>
        </w:rPr>
        <w:t>坚持以人民为中心的发展理念，结合乡村空间布局调整，通过优先发展农村教育事业、优化提升乡村就业创业环境、开展乡村医疗健康行动、完善乡村社会保障体系等方式，不断提升乡村公共服务供给品质，切实增强农民群众获得感、幸福感。</w:t>
      </w:r>
    </w:p>
    <w:p>
      <w:pPr>
        <w:ind w:firstLine="562"/>
        <w:rPr>
          <w:rFonts w:ascii="仿宋_GB2312" w:hAnsi="仿宋_GB2312" w:eastAsia="仿宋_GB2312" w:cs="仿宋_GB2312"/>
        </w:rPr>
      </w:pPr>
      <w:r>
        <w:rPr>
          <w:rFonts w:hint="eastAsia" w:ascii="仿宋_GB2312" w:hAnsi="仿宋_GB2312" w:eastAsia="仿宋_GB2312" w:cs="仿宋_GB2312"/>
          <w:b/>
          <w:bCs/>
        </w:rPr>
        <w:t>严控红线推进乡村绿色发展。</w:t>
      </w:r>
      <w:r>
        <w:rPr>
          <w:rFonts w:hint="eastAsia" w:ascii="仿宋_GB2312" w:hAnsi="仿宋_GB2312" w:eastAsia="仿宋_GB2312" w:cs="仿宋_GB2312"/>
        </w:rPr>
        <w:t>强调红线意识，牢固坚守“底线、红线和高压线”，建立健全生态保护补偿机制。以种植业有机化，养殖业标准化为目标，构建种养结合，良性循环，互动互补的农业发展综合体。加大农业面源污染综合防治，开展农产品产地环境清洁行动，严格执行畜禽规模养殖环境影响评价制度，全面落实化肥农药使用量零增长行动，形成一批生态地标产品，助力乡村绿色发展。修订完善天然林保护管理办法，继续实施林业重点工程，进一步加大乡村生态保护和修复力度。</w:t>
      </w:r>
    </w:p>
    <w:p>
      <w:pPr>
        <w:pStyle w:val="5"/>
        <w:jc w:val="center"/>
        <w:rPr>
          <w:rFonts w:ascii="仿宋_GB2312" w:hAnsi="仿宋_GB2312" w:eastAsia="仿宋_GB2312" w:cs="仿宋_GB2312"/>
          <w:b/>
          <w:bCs/>
          <w:sz w:val="32"/>
          <w:szCs w:val="32"/>
        </w:rPr>
      </w:pPr>
      <w:bookmarkStart w:id="132" w:name="_Toc24484"/>
      <w:bookmarkStart w:id="133" w:name="_Toc3483"/>
      <w:bookmarkStart w:id="134" w:name="_Toc26721"/>
      <w:r>
        <w:rPr>
          <w:rFonts w:hint="eastAsia" w:ascii="仿宋_GB2312" w:hAnsi="仿宋_GB2312" w:eastAsia="仿宋_GB2312" w:cs="仿宋_GB2312"/>
          <w:b/>
          <w:bCs/>
          <w:sz w:val="32"/>
          <w:szCs w:val="32"/>
        </w:rPr>
        <w:t>第五节   构建乡风文明新社会</w:t>
      </w:r>
      <w:bookmarkEnd w:id="132"/>
      <w:bookmarkEnd w:id="133"/>
      <w:bookmarkEnd w:id="134"/>
    </w:p>
    <w:p>
      <w:pPr>
        <w:ind w:firstLine="562"/>
        <w:rPr>
          <w:rFonts w:ascii="仿宋_GB2312" w:hAnsi="仿宋_GB2312" w:eastAsia="仿宋_GB2312" w:cs="仿宋_GB2312"/>
        </w:rPr>
      </w:pPr>
      <w:r>
        <w:rPr>
          <w:rFonts w:hint="eastAsia" w:ascii="仿宋_GB2312" w:hAnsi="仿宋_GB2312" w:eastAsia="仿宋_GB2312" w:cs="仿宋_GB2312"/>
          <w:b/>
          <w:bCs/>
        </w:rPr>
        <w:t>抓好思想道德建设。</w:t>
      </w:r>
      <w:r>
        <w:rPr>
          <w:rFonts w:hint="eastAsia" w:ascii="仿宋_GB2312" w:hAnsi="仿宋_GB2312" w:eastAsia="仿宋_GB2312" w:cs="仿宋_GB2312"/>
        </w:rPr>
        <w:t>坚持教育引导、实践养成、制度保障三管齐下，培育和践行社会主义核心价值观。以创建文明乡镇、文明村、文明户为契机，加强乡村思想文化建设阵地，进一步完善基本公共文化服务标准体系。以乡风文明为目标，深入实施公民道德建设工程，倡导诚信道德规范。</w:t>
      </w:r>
    </w:p>
    <w:p>
      <w:pPr>
        <w:ind w:firstLine="562"/>
        <w:rPr>
          <w:rFonts w:ascii="仿宋_GB2312" w:hAnsi="仿宋_GB2312" w:eastAsia="仿宋_GB2312" w:cs="仿宋_GB2312"/>
        </w:rPr>
      </w:pPr>
      <w:r>
        <w:rPr>
          <w:rFonts w:hint="eastAsia" w:ascii="仿宋_GB2312" w:hAnsi="仿宋_GB2312" w:eastAsia="仿宋_GB2312" w:cs="仿宋_GB2312"/>
          <w:b/>
          <w:bCs/>
        </w:rPr>
        <w:t>加强公共文化建设。</w:t>
      </w:r>
      <w:r>
        <w:rPr>
          <w:rFonts w:hint="eastAsia" w:ascii="仿宋_GB2312" w:hAnsi="仿宋_GB2312" w:eastAsia="仿宋_GB2312" w:cs="仿宋_GB2312"/>
        </w:rPr>
        <w:t>全面落实国家基本公共文化服务指导标准，完善乡村公共文化设施，健全乡村公共文化服务体系。扎实开展“读书工程”“送文化下乡”“全民阅读”等群众性文化活动，建立乡村群众文化活动常态化机制。</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弘扬优秀传统文化。</w:t>
      </w:r>
      <w:r>
        <w:rPr>
          <w:rFonts w:hint="eastAsia" w:ascii="仿宋_GB2312" w:hAnsi="仿宋_GB2312" w:eastAsia="仿宋_GB2312" w:cs="仿宋_GB2312"/>
        </w:rPr>
        <w:t>实施优秀传统文化保护工程，支持传统文化演练队伍建设和民间文化艺术研究学会、协会发展，传承优秀传统文化。深入挖掘我县丰富的革命历史和文化资源，深化长征精神内涵研究，做好红色土城与四渡赤水等红色文化资源开发，传承发展红色文化。完善非物质文化遗产保护体系和保护制度，加强农村民间艺人、民间艺术表演团队在内的非物质文化遗产数字化建设，保护非物质文化遗产。</w:t>
      </w:r>
    </w:p>
    <w:p>
      <w:pPr>
        <w:pStyle w:val="5"/>
        <w:jc w:val="center"/>
        <w:rPr>
          <w:rFonts w:ascii="仿宋_GB2312" w:hAnsi="仿宋_GB2312" w:eastAsia="仿宋_GB2312" w:cs="仿宋_GB2312"/>
          <w:b/>
          <w:bCs/>
          <w:sz w:val="32"/>
          <w:szCs w:val="32"/>
        </w:rPr>
      </w:pPr>
      <w:bookmarkStart w:id="135" w:name="_Toc23531"/>
      <w:bookmarkStart w:id="136" w:name="_Toc414"/>
      <w:bookmarkStart w:id="137" w:name="_Toc9384"/>
      <w:r>
        <w:rPr>
          <w:rFonts w:hint="eastAsia" w:ascii="仿宋_GB2312" w:hAnsi="仿宋_GB2312" w:eastAsia="仿宋_GB2312" w:cs="仿宋_GB2312"/>
          <w:b/>
          <w:bCs/>
          <w:sz w:val="32"/>
          <w:szCs w:val="32"/>
        </w:rPr>
        <w:t>第六节   建设治理有效新农村</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加强村级党组织建设。</w:t>
      </w:r>
      <w:r>
        <w:rPr>
          <w:rFonts w:hint="eastAsia" w:ascii="仿宋_GB2312" w:hAnsi="仿宋_GB2312" w:eastAsia="仿宋_GB2312" w:cs="仿宋_GB2312"/>
        </w:rPr>
        <w:t>加强村级党组织标准化建设，全面提升村级党组织建设治理效能。根据农村社会结构形态和经济结构变化，持续创新优化农村基层党组织设置，及时调整村党组织设置形式，强化村级党组织核心作用。通过加强农村党风廉政建设，完善人才选拔制度、优化考评制度等方式，促进乡村干部队伍建设。</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深化村民自治实践。</w:t>
      </w:r>
      <w:r>
        <w:rPr>
          <w:rFonts w:hint="eastAsia" w:ascii="仿宋_GB2312" w:hAnsi="仿宋_GB2312" w:eastAsia="仿宋_GB2312" w:cs="仿宋_GB2312"/>
        </w:rPr>
        <w:t>通过完善村民自治组织制度、推进村民小组自治试点等方式，不断健全充满活力的村民自治机制，调动村民参与村级决策管理的积极性，实现民主选举、民主决策、民主管理、民主监督。</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提高农村基层法治水平。</w:t>
      </w:r>
      <w:r>
        <w:rPr>
          <w:rFonts w:hint="eastAsia" w:ascii="仿宋_GB2312" w:hAnsi="仿宋_GB2312" w:eastAsia="仿宋_GB2312" w:cs="仿宋_GB2312"/>
        </w:rPr>
        <w:t>加强农村实用法律法规宣传教育，持续加大对贫困群众的司法救助力度，健全农村公共安全体系，提升农村法治水平，为乡村社会公正和谐发展保驾护航。</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加强平安农村建设。</w:t>
      </w:r>
      <w:r>
        <w:rPr>
          <w:rFonts w:hint="eastAsia" w:ascii="仿宋_GB2312" w:hAnsi="仿宋_GB2312" w:eastAsia="仿宋_GB2312" w:cs="仿宋_GB2312"/>
        </w:rPr>
        <w:t>健全落实社会治安综合治理领导责任制，建立农村治安重点地区滚动排查、动态整治长效机制。深入开展扫黑除恶专项斗争，严厉打击各类涉农违法犯罪。建设平安乡村，全面提升乡村群众安全感。</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提升乡村德治水平。</w:t>
      </w:r>
      <w:r>
        <w:rPr>
          <w:rFonts w:hint="eastAsia" w:ascii="仿宋_GB2312" w:hAnsi="仿宋_GB2312" w:eastAsia="仿宋_GB2312" w:cs="仿宋_GB2312"/>
        </w:rPr>
        <w:t>坚持德治为先，树立模范典型。进一步完善提升村规民约，加强优秀村规民约宣传，发挥村规民约在弘扬社会公序良俗方面的独特作用。深入挖掘农村熟人社会蕴含的道德规范，强化道德教化作用。</w:t>
      </w:r>
    </w:p>
    <w:p>
      <w:pPr>
        <w:pStyle w:val="5"/>
        <w:jc w:val="center"/>
        <w:rPr>
          <w:rFonts w:ascii="仿宋_GB2312" w:hAnsi="仿宋_GB2312" w:eastAsia="仿宋_GB2312" w:cs="仿宋_GB2312"/>
          <w:b/>
          <w:bCs/>
          <w:sz w:val="32"/>
          <w:szCs w:val="32"/>
        </w:rPr>
      </w:pPr>
      <w:bookmarkStart w:id="138" w:name="_Toc6588"/>
      <w:bookmarkStart w:id="139" w:name="_Toc20897"/>
      <w:bookmarkStart w:id="140" w:name="_Toc18649"/>
      <w:bookmarkStart w:id="141" w:name="_Toc16450"/>
      <w:bookmarkStart w:id="142" w:name="_Toc19519"/>
      <w:bookmarkStart w:id="143" w:name="_Toc30789"/>
      <w:bookmarkStart w:id="144" w:name="_Toc44085485"/>
      <w:r>
        <w:rPr>
          <w:rFonts w:hint="eastAsia" w:ascii="仿宋_GB2312" w:hAnsi="仿宋_GB2312" w:eastAsia="仿宋_GB2312" w:cs="仿宋_GB2312"/>
          <w:b/>
          <w:bCs/>
          <w:sz w:val="32"/>
          <w:szCs w:val="32"/>
        </w:rPr>
        <w:t>第七节   积极巩固脱贫成果</w:t>
      </w:r>
      <w:bookmarkEnd w:id="138"/>
      <w:bookmarkEnd w:id="139"/>
      <w:bookmarkEnd w:id="140"/>
      <w:bookmarkEnd w:id="141"/>
    </w:p>
    <w:bookmarkEnd w:id="142"/>
    <w:bookmarkEnd w:id="143"/>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建立预防返贫机制。</w:t>
      </w:r>
      <w:r>
        <w:rPr>
          <w:rFonts w:hint="eastAsia" w:ascii="仿宋_GB2312" w:hAnsi="仿宋_GB2312" w:eastAsia="仿宋_GB2312" w:cs="仿宋_GB2312"/>
        </w:rPr>
        <w:t>继续实施“夯实基础短板、产业到户全覆盖、就业和技能培训全覆盖、政策保障全覆盖、农村环境综合治理、基层组织建设”六大提升工程，通过促进相对贫困地区基础设施建设和产业发展，杜绝贫困人口再度陷入绝对贫困状态。扩大“众筹扶贫”“雁归扶贫”“企业结对帮扶”工作的帮扶范围，巩固脱贫成果，提升脱贫质量，提高农村人口自主发展能力，缩小收入差距和区域发展差距。持续关注绝对贫困线附近的边缘人群，适当提高贫困标准与扶贫政策的覆盖范围，防止产生新的贫困人群。总结扶贫经验，创新支持政策，建立促进贫困群众稳定脱贫和防止返贫的长效机制。深化东西部扶贫协作机制，加强与普陀区在农产品销售、人才培养交流、劳务协作等方面合作。</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稳定脱贫人群就业。</w:t>
      </w:r>
      <w:r>
        <w:rPr>
          <w:rFonts w:hint="eastAsia" w:ascii="仿宋_GB2312" w:hAnsi="仿宋_GB2312" w:eastAsia="仿宋_GB2312" w:cs="仿宋_GB2312"/>
        </w:rPr>
        <w:t>结合城乡产业发展，加大对脱贫人群就业创业的支持力度。以重大扶贫工程和到村到户帮扶为抓手，强化资金、用地、项目支持，推进产业向贫困村、贫困户和集中安置区延伸。对于发展落后地区的贫困村，鼓励引进社会力量，投资发展山地特色农业、文化旅游和康养度假等产业，带动当地农民就业。在城镇集中安置区规划发展一批白酒包装、食品加工、仓储物流、电子商务、居民服务等产业项目，扩大并稳定居民就业。</w:t>
      </w:r>
      <w:bookmarkStart w:id="145" w:name="_Toc31921"/>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146" w:name="_Toc26557"/>
      <w:bookmarkStart w:id="147" w:name="_Toc17108"/>
      <w:r>
        <w:rPr>
          <w:rFonts w:hint="eastAsia" w:ascii="方正小标宋简体" w:hAnsi="方正小标宋简体" w:eastAsia="方正小标宋简体" w:cs="方正小标宋简体"/>
          <w:b w:val="0"/>
          <w:bCs/>
          <w:sz w:val="32"/>
          <w:szCs w:val="32"/>
        </w:rPr>
        <w:t>第六章    推进新型城镇化，着力打造“旅居习水”</w:t>
      </w:r>
      <w:bookmarkEnd w:id="145"/>
      <w:bookmarkEnd w:id="146"/>
      <w:bookmarkEnd w:id="147"/>
    </w:p>
    <w:bookmarkEnd w:id="144"/>
    <w:p>
      <w:pPr>
        <w:spacing w:before="156" w:after="156"/>
        <w:ind w:firstLine="560"/>
        <w:rPr>
          <w:rFonts w:ascii="仿宋_GB2312" w:hAnsi="仿宋_GB2312" w:eastAsia="仿宋_GB2312" w:cs="仿宋_GB2312"/>
        </w:rPr>
      </w:pPr>
      <w:r>
        <w:rPr>
          <w:rFonts w:hint="eastAsia" w:ascii="仿宋_GB2312" w:hAnsi="仿宋_GB2312" w:eastAsia="仿宋_GB2312" w:cs="仿宋_GB2312"/>
        </w:rPr>
        <w:t>深入推进以人为中心的新型城镇化和旅游产业化，发挥资源优势、突出山地特色、提升生态价值，促进文旅融合、产城融合，构建独具魅力的县域旅居体系，着力打造宜居、宜游、宜养的“旅居习水”。</w:t>
      </w:r>
    </w:p>
    <w:p>
      <w:pPr>
        <w:pStyle w:val="5"/>
        <w:jc w:val="center"/>
        <w:rPr>
          <w:rFonts w:ascii="仿宋_GB2312" w:hAnsi="仿宋_GB2312" w:eastAsia="仿宋_GB2312" w:cs="仿宋_GB2312"/>
          <w:b/>
          <w:bCs/>
          <w:sz w:val="32"/>
          <w:szCs w:val="32"/>
        </w:rPr>
      </w:pPr>
      <w:bookmarkStart w:id="148" w:name="_Toc18182"/>
      <w:bookmarkStart w:id="149" w:name="_Toc8594"/>
      <w:bookmarkStart w:id="150" w:name="_Toc5132"/>
      <w:r>
        <w:rPr>
          <w:rFonts w:hint="eastAsia" w:ascii="仿宋_GB2312" w:hAnsi="仿宋_GB2312" w:eastAsia="仿宋_GB2312" w:cs="仿宋_GB2312"/>
          <w:b/>
          <w:bCs/>
          <w:sz w:val="32"/>
          <w:szCs w:val="32"/>
        </w:rPr>
        <w:t>第一节   优化城镇规划体系</w:t>
      </w:r>
      <w:bookmarkEnd w:id="148"/>
      <w:bookmarkEnd w:id="149"/>
      <w:bookmarkEnd w:id="150"/>
    </w:p>
    <w:p>
      <w:pPr>
        <w:ind w:firstLine="562"/>
        <w:rPr>
          <w:rFonts w:ascii="仿宋_GB2312" w:hAnsi="仿宋_GB2312" w:eastAsia="仿宋_GB2312" w:cs="仿宋_GB2312"/>
        </w:rPr>
      </w:pPr>
      <w:r>
        <w:rPr>
          <w:rFonts w:hint="eastAsia" w:ascii="仿宋_GB2312" w:hAnsi="仿宋_GB2312" w:eastAsia="仿宋_GB2312" w:cs="仿宋_GB2312"/>
          <w:b/>
          <w:bCs/>
        </w:rPr>
        <w:t>完善城镇规划体系。</w:t>
      </w:r>
      <w:r>
        <w:rPr>
          <w:rFonts w:hint="eastAsia" w:ascii="仿宋_GB2312" w:hAnsi="仿宋_GB2312" w:eastAsia="仿宋_GB2312" w:cs="仿宋_GB2312"/>
        </w:rPr>
        <w:t>按照黔川渝结合部县域旅居中心发展定位，以国土空间规划和城市总体规划为统领，统筹做好环卫规划、城市管网规划及其他各类专项规划，促进多规融合。做好中心城区、城市副中心、重点乡镇建设方案的深度策划，指导城镇化建设。</w:t>
      </w:r>
    </w:p>
    <w:p>
      <w:pPr>
        <w:ind w:firstLine="562"/>
        <w:rPr>
          <w:rFonts w:ascii="仿宋_GB2312" w:hAnsi="仿宋_GB2312" w:eastAsia="仿宋_GB2312" w:cs="仿宋_GB2312"/>
        </w:rPr>
      </w:pPr>
      <w:r>
        <w:rPr>
          <w:rFonts w:hint="eastAsia" w:ascii="仿宋_GB2312" w:hAnsi="仿宋_GB2312" w:eastAsia="仿宋_GB2312" w:cs="仿宋_GB2312"/>
          <w:b/>
          <w:bCs/>
        </w:rPr>
        <w:t>优化城镇空间布局</w:t>
      </w:r>
      <w:r>
        <w:rPr>
          <w:rFonts w:hint="eastAsia" w:ascii="仿宋_GB2312" w:hAnsi="仿宋_GB2312" w:eastAsia="仿宋_GB2312" w:cs="仿宋_GB2312"/>
          <w:b/>
        </w:rPr>
        <w:t>。</w:t>
      </w:r>
      <w:r>
        <w:rPr>
          <w:rFonts w:hint="eastAsia" w:ascii="仿宋_GB2312" w:hAnsi="仿宋_GB2312" w:eastAsia="仿宋_GB2312" w:cs="仿宋_GB2312"/>
          <w:bCs/>
        </w:rPr>
        <w:t>抓住“仁怀-习水-赤水”黔边城市带发展机遇，以县城区为核心，实施新一轮城镇提档升级，打造县域旅居高地。优化城镇化空间布局和城镇规模结构，加快温水城市副中心、习酒经济副中心、土城文化副中心、寨坝康养副中心建设，实现县城区、副中心与小城镇功能互补、协同发展。</w:t>
      </w:r>
      <w:r>
        <w:rPr>
          <w:rFonts w:hint="eastAsia" w:ascii="仿宋_GB2312" w:hAnsi="仿宋_GB2312" w:eastAsia="仿宋_GB2312" w:cs="仿宋_GB2312"/>
        </w:rPr>
        <w:t>着力强化中心城区综合服务功能、提升副中心城镇带动作用、促进发展带协同能力、增强支点城镇支撑作用。发挥好城镇化对消费的拉动作用，鼓励消费新模式新业态发展，扩大居民消费，繁荣城市经济。推进符合条件农业转移人口落户城镇，保障农业转移人口公平享有就业、教育、医疗、住房、社会保障等城镇基本公共服务。积极推进“撤县设市”，促进城市治理体系与治理能力现代化。</w:t>
      </w:r>
    </w:p>
    <w:p>
      <w:pPr>
        <w:pStyle w:val="5"/>
        <w:jc w:val="center"/>
        <w:rPr>
          <w:rFonts w:ascii="仿宋_GB2312" w:hAnsi="仿宋_GB2312" w:eastAsia="仿宋_GB2312" w:cs="仿宋_GB2312"/>
          <w:b/>
          <w:bCs/>
          <w:sz w:val="32"/>
          <w:szCs w:val="32"/>
        </w:rPr>
      </w:pPr>
      <w:bookmarkStart w:id="151" w:name="_Toc6724"/>
      <w:bookmarkStart w:id="152" w:name="_Toc7821"/>
      <w:bookmarkStart w:id="153" w:name="_Toc6818"/>
      <w:r>
        <w:rPr>
          <w:rFonts w:hint="eastAsia" w:ascii="仿宋_GB2312" w:hAnsi="仿宋_GB2312" w:eastAsia="仿宋_GB2312" w:cs="仿宋_GB2312"/>
          <w:b/>
          <w:bCs/>
          <w:sz w:val="32"/>
          <w:szCs w:val="32"/>
        </w:rPr>
        <w:t>第二节   提升中心城区品质</w:t>
      </w:r>
      <w:bookmarkEnd w:id="151"/>
      <w:bookmarkEnd w:id="152"/>
      <w:bookmarkEnd w:id="153"/>
    </w:p>
    <w:p>
      <w:pPr>
        <w:ind w:firstLine="562"/>
        <w:rPr>
          <w:rFonts w:ascii="仿宋_GB2312" w:hAnsi="仿宋_GB2312" w:eastAsia="仿宋_GB2312" w:cs="仿宋_GB2312"/>
        </w:rPr>
      </w:pPr>
      <w:r>
        <w:rPr>
          <w:rFonts w:hint="eastAsia" w:ascii="仿宋_GB2312" w:hAnsi="仿宋_GB2312" w:eastAsia="仿宋_GB2312" w:cs="仿宋_GB2312"/>
          <w:b/>
          <w:bCs/>
        </w:rPr>
        <w:t>着力优化中心城区。</w:t>
      </w:r>
      <w:r>
        <w:rPr>
          <w:rFonts w:hint="eastAsia" w:ascii="仿宋_GB2312" w:hAnsi="仿宋_GB2312" w:eastAsia="仿宋_GB2312" w:cs="仿宋_GB2312"/>
        </w:rPr>
        <w:t>按照打造独具特色的文旅康养度假城市和生态园林城市目标，坚持“控北扩南、东西延伸”的空间发展方向，推动县城-马临一体化，扩大城区规模。降低中心城区开发强度、建筑尺度、人口密度，构建“一主城、四片区、绿脉贯通”的T形城市空间格局。强化康养服务、旅游服务、商务服务、休闲娱乐、体育健身等服务功能，优化中心城区功能布局，形成文化旅游区、康养度假区、商业中心区、专业市场区、生态居住区、行政服务区等若干各具特色、功能互补的城市功能片区。合理布局市政公用设施、环保基础设施和公共服务设施，统筹电力、通信、燃气、给排水等市政管线建设，加大停车场建设改造力度，增强城市综合承载能力。统筹推进城市新区建设和旧城复兴。科学规划城市新区，提升城市魅力。积极推进旧城及棚户区改造，改善居民居住环境，促进老城区“减量、增绿、留白、整容”。</w:t>
      </w:r>
    </w:p>
    <w:p>
      <w:pPr>
        <w:ind w:firstLine="562"/>
        <w:rPr>
          <w:rFonts w:ascii="仿宋_GB2312" w:hAnsi="仿宋_GB2312" w:eastAsia="仿宋_GB2312" w:cs="仿宋_GB2312"/>
        </w:rPr>
      </w:pPr>
      <w:r>
        <w:rPr>
          <w:rFonts w:hint="eastAsia" w:ascii="仿宋_GB2312" w:hAnsi="仿宋_GB2312" w:eastAsia="仿宋_GB2312" w:cs="仿宋_GB2312"/>
          <w:b/>
          <w:bCs/>
        </w:rPr>
        <w:t>提升城市文化景观。</w:t>
      </w:r>
      <w:r>
        <w:rPr>
          <w:rFonts w:hint="eastAsia" w:ascii="仿宋_GB2312" w:hAnsi="仿宋_GB2312" w:eastAsia="仿宋_GB2312" w:cs="仿宋_GB2312"/>
        </w:rPr>
        <w:t>按照添色增绿工程和建设文旅康养度假城市要求，做好城市文化景观规划、设计和建设。做好城市建筑景观规划。统筹考虑城市周边山体、自然景观和城市功能分区等因素，对建筑高度、形态、主色调提出控制性规定和要求，力求做到建筑高度错落有致、建筑形态各具特色、建筑色调整体协调。做好园林景观规划。深入挖掘城市历史文化，提炼精选一些凸显地方特色的经典性元素和标志性符号，合理应用于城市雕塑、广场园林、河桥水体、古树名木等公共空间，打造具有习水特色的历史文化地标。优化城市家具规划。做好城市路灯、指示牌、垃圾箱、广告牌等城市家具的个性化设计，注重实用性，突出文化味、艺术美。</w:t>
      </w:r>
    </w:p>
    <w:p>
      <w:pPr>
        <w:ind w:firstLine="562"/>
        <w:rPr>
          <w:rFonts w:ascii="仿宋_GB2312" w:hAnsi="仿宋_GB2312" w:eastAsia="仿宋_GB2312" w:cs="仿宋_GB2312"/>
        </w:rPr>
      </w:pPr>
      <w:r>
        <w:rPr>
          <w:rFonts w:hint="eastAsia" w:ascii="仿宋_GB2312" w:hAnsi="仿宋_GB2312" w:eastAsia="仿宋_GB2312" w:cs="仿宋_GB2312"/>
          <w:b/>
          <w:bCs/>
        </w:rPr>
        <w:t>建设绿色智慧城区。</w:t>
      </w:r>
      <w:r>
        <w:rPr>
          <w:rFonts w:hint="eastAsia" w:ascii="仿宋_GB2312" w:hAnsi="仿宋_GB2312" w:eastAsia="仿宋_GB2312" w:cs="仿宋_GB2312"/>
        </w:rPr>
        <w:t>将生态文明理念融入习水城市发展，实施绿色建筑行动计划，加快新能源汽车推广应用，全面实现“一车一桩”充电桩全面覆盖工程，倡导绿色出行。推进城市双修、海绵城市和智慧城市建设。实施中心城区绿化亮化提升和管网普查工程。推进智慧城市建设，探索数字化城市运营管理方式。建设综合性城市管理平台和数据库，引入社区网格化管理模式，推动物联网、大数据以及5G等新一代信息技术在城市建设和城市开发的应用，促进城市设施配套智能化、公共服务便民化、规划管理信息化、信息管理数字化、社会治理现代化。</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专栏10：城区品质提升建设项目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 xml:space="preserve">习水县茅台201快速通道建设项目、习水县丹霞北路道路工程、习水县城南迎宾大道道路工程、习水县产城大道（黄木坪段）道路工程、习水县温水镇幸福大道片区开发建设项目、习水县昆仑路道路工程项目、习水县官店镇犀牛山山体公园建设项目、习水县曲水流觞公园工程项目、习水县东皇河滨公园工程项目、习水县红军公园工程项目、习水县东皇公园工程项目、习水县马临公园工程项目、习水县智能停车场建设项目（第一期）、习水县湿地公园停车场建设项目、习水县县城供水改扩建工程、习水县县城供水改扩建（坭垭水厂）二期工程、习水县5G物联网智能充电桩全覆盖建设项目、习水县坭坝森林公园建设项目、习水县仙源镇城市森林公园项目、习水县乡镇集镇供水管网改造项目、习水县城市政道路（打捆）二期工程项目（断头路）、习水县2020年市政打捆项目、习水县气象公园建设项目、习水县县城河道生态补水工程、习水县仙源镇城市商业综合体项目、习水县三寰江南印城市综合体开发建设项目、习水县上甲御府城市综合体开发建设项目、习水县安德华府城市综合体开发建设项目、习水县通盛御和园城市综合体开发建设项目、习水县云玺城市综合体开发建设项目、习水县华润大道B段城市综合体建设项目（香山美域至习水一中）、习水县原一中片区城市综合体开发建设项目、习水县良村大安村特色小镇项目、习水县二郎庆丰村特色小镇项目、习水县习酒临江村特色小镇项目、习水县习酒桃竹坝村特色小镇项目、习水县隆兴淋滩村特色小镇项目。 </w:t>
            </w:r>
          </w:p>
        </w:tc>
      </w:tr>
    </w:tbl>
    <w:p>
      <w:pPr>
        <w:pStyle w:val="5"/>
        <w:jc w:val="center"/>
        <w:rPr>
          <w:rFonts w:ascii="仿宋_GB2312" w:hAnsi="仿宋_GB2312" w:eastAsia="仿宋_GB2312" w:cs="仿宋_GB2312"/>
          <w:b/>
          <w:bCs/>
          <w:sz w:val="32"/>
          <w:szCs w:val="32"/>
        </w:rPr>
      </w:pPr>
      <w:bookmarkStart w:id="154" w:name="_Toc23216"/>
      <w:bookmarkStart w:id="155" w:name="_Toc17803"/>
      <w:bookmarkStart w:id="156" w:name="_Toc10690"/>
      <w:bookmarkStart w:id="157" w:name="_Toc2923"/>
      <w:r>
        <w:rPr>
          <w:rFonts w:hint="eastAsia" w:ascii="仿宋_GB2312" w:hAnsi="仿宋_GB2312" w:eastAsia="仿宋_GB2312" w:cs="仿宋_GB2312"/>
          <w:b/>
          <w:bCs/>
          <w:sz w:val="32"/>
          <w:szCs w:val="32"/>
        </w:rPr>
        <w:t>第三节   加强小城镇</w:t>
      </w:r>
      <w:bookmarkEnd w:id="154"/>
      <w:r>
        <w:rPr>
          <w:rFonts w:hint="eastAsia" w:ascii="仿宋_GB2312" w:hAnsi="仿宋_GB2312" w:eastAsia="仿宋_GB2312" w:cs="仿宋_GB2312"/>
          <w:b/>
          <w:bCs/>
          <w:sz w:val="32"/>
          <w:szCs w:val="32"/>
        </w:rPr>
        <w:t>建设</w:t>
      </w:r>
      <w:bookmarkEnd w:id="155"/>
      <w:bookmarkEnd w:id="156"/>
      <w:bookmarkEnd w:id="157"/>
    </w:p>
    <w:p>
      <w:pPr>
        <w:ind w:firstLine="562"/>
        <w:rPr>
          <w:rFonts w:ascii="仿宋_GB2312" w:hAnsi="仿宋_GB2312" w:eastAsia="仿宋_GB2312" w:cs="仿宋_GB2312"/>
        </w:rPr>
      </w:pPr>
      <w:r>
        <w:rPr>
          <w:rFonts w:hint="eastAsia" w:ascii="仿宋_GB2312" w:hAnsi="仿宋_GB2312" w:eastAsia="仿宋_GB2312" w:cs="仿宋_GB2312"/>
          <w:b/>
          <w:bCs/>
        </w:rPr>
        <w:t>打造山地特色小镇。</w:t>
      </w:r>
      <w:r>
        <w:rPr>
          <w:rFonts w:hint="eastAsia" w:ascii="仿宋_GB2312" w:hAnsi="仿宋_GB2312" w:eastAsia="仿宋_GB2312" w:cs="仿宋_GB2312"/>
        </w:rPr>
        <w:t>按照“全域城镇化、镇域特色化”要求，高标准打造一批特色小镇。全力推进土城、仙源创建全国特色小城镇，习酒、寨坝创建省级示范小城镇，二郎、温水、良村、官店、隆兴、同民创建市级示范小城镇，推动其他建制镇向专业化山地特色小镇发展。积极推进土城红色文化旅游创新区和土城白酒工业园区建设，大力发展旅游度假、休闲娱乐、商贸物流等产业。推进坭坝、同民、醒民、官店、程寨等山地农旅型特色小城镇建设。打造双龙高山风情度假小镇、三岔河风情小镇、二里鲜果小镇、桃林旅游度假小镇、桑木温泉度假小镇等特色小镇。切实发挥特色小镇优势，带动区域旅游升级、产业发展、社会进步、民生改善。</w:t>
      </w:r>
    </w:p>
    <w:p>
      <w:pPr>
        <w:ind w:firstLine="562"/>
        <w:rPr>
          <w:rFonts w:ascii="仿宋_GB2312" w:hAnsi="仿宋_GB2312" w:eastAsia="仿宋_GB2312" w:cs="仿宋_GB2312"/>
        </w:rPr>
      </w:pPr>
      <w:r>
        <w:rPr>
          <w:rFonts w:hint="eastAsia" w:ascii="仿宋_GB2312" w:hAnsi="仿宋_GB2312" w:eastAsia="仿宋_GB2312" w:cs="仿宋_GB2312"/>
          <w:b/>
          <w:bCs/>
        </w:rPr>
        <w:t>补齐小城镇建设短板。</w:t>
      </w:r>
      <w:r>
        <w:rPr>
          <w:rFonts w:hint="eastAsia" w:ascii="仿宋_GB2312" w:hAnsi="仿宋_GB2312" w:eastAsia="仿宋_GB2312" w:cs="仿宋_GB2312"/>
        </w:rPr>
        <w:t>推进农贸市场、敬老院、保障性住房、寄宿制学校、文化馆、体育场等公共服务设施向乡镇延伸。加强小城镇路网、广场公园、公共停车场、客运站、垃圾无害化处理设施等基础设施建设。优先对桑木镇、双龙乡及其他目前无公共停车场、客运站的乡镇进行规划建设，减轻集镇“赶场天”的交通压力。制定全县小城镇供电设施、交通联络线、水源地建设等专项实施方案。推进城镇生活污水及垃圾处理设施全覆盖并保障其稳定运行，加快重点镇垃圾收集和转运设施建设。</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专栏11：小城镇建设项目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楷体_GB2312" w:hAnsi="楷体_GB2312" w:eastAsia="楷体_GB2312" w:cs="楷体_GB2312"/>
                <w:sz w:val="24"/>
                <w:szCs w:val="24"/>
                <w:lang w:bidi="ar"/>
              </w:rPr>
            </w:pPr>
            <w:r>
              <w:rPr>
                <w:rFonts w:hint="eastAsia" w:ascii="楷体_GB2312" w:hAnsi="楷体_GB2312" w:eastAsia="楷体_GB2312" w:cs="楷体_GB2312"/>
                <w:b/>
                <w:bCs/>
                <w:sz w:val="24"/>
                <w:szCs w:val="24"/>
                <w:lang w:bidi="ar"/>
              </w:rPr>
              <w:t>1、特色小城镇项目：</w:t>
            </w:r>
            <w:r>
              <w:rPr>
                <w:rFonts w:hint="eastAsia" w:ascii="楷体_GB2312" w:hAnsi="楷体_GB2312" w:eastAsia="楷体_GB2312" w:cs="楷体_GB2312"/>
                <w:sz w:val="24"/>
                <w:szCs w:val="24"/>
                <w:lang w:bidi="ar"/>
              </w:rPr>
              <w:t>习水县官店镇市级小城镇建设项目、习水县仙源镇示范小镇基础设施建设项目、习水县鰼水之源寨坝特色城镇建设、习水县温水特色小镇建设项目、习水县同民特色小城镇项目、习水县二郎特色小城镇项目、习水县隆兴特色小城镇项目、习水县鳛国天湖旅居小镇建设项目、习水县良村特色小城镇项目、习水县习酒特色小城镇项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楷体_GB2312" w:hAnsi="楷体_GB2312" w:eastAsia="楷体_GB2312" w:cs="楷体_GB2312"/>
                <w:sz w:val="24"/>
                <w:szCs w:val="24"/>
              </w:rPr>
            </w:pPr>
            <w:r>
              <w:rPr>
                <w:rFonts w:hint="eastAsia" w:ascii="楷体_GB2312" w:hAnsi="楷体_GB2312" w:eastAsia="楷体_GB2312" w:cs="楷体_GB2312"/>
                <w:b/>
                <w:bCs/>
                <w:sz w:val="24"/>
                <w:szCs w:val="24"/>
                <w:lang w:bidi="ar"/>
              </w:rPr>
              <w:t>2、小城镇配套项目：</w:t>
            </w:r>
            <w:r>
              <w:rPr>
                <w:rFonts w:hint="eastAsia" w:ascii="楷体_GB2312" w:hAnsi="楷体_GB2312" w:eastAsia="楷体_GB2312" w:cs="楷体_GB2312"/>
                <w:sz w:val="24"/>
                <w:szCs w:val="24"/>
                <w:lang w:bidi="ar"/>
              </w:rPr>
              <w:t>习水县土城古镇创建5A级景区基础设施建设项目、习水县集镇河道生态补水工程、习水县官店镇水厂建设项目、习水县大坡镇人饮提升工程项目、习水县三岔河镇美丽乡村建设项目、习水县大坡镇集镇扩展项目、习水县桃林镇集镇老街至鹰嘴岩建设项目、习水县大坡镇集镇古镇打造项目、习水县乡镇路灯安装工程、习水县九龙街道立面改造项目、习水县集镇应急补水工程、习水县集镇河道水生态综合治理工程、习水县鰼创区5G基站建设项目、习水县良村土地一级开发建设项目、习水县寨镇停车场扩建项目。</w:t>
            </w:r>
          </w:p>
        </w:tc>
      </w:tr>
    </w:tbl>
    <w:p>
      <w:pPr>
        <w:pStyle w:val="5"/>
        <w:jc w:val="center"/>
        <w:rPr>
          <w:rFonts w:ascii="仿宋" w:hAnsi="仿宋" w:eastAsia="仿宋" w:cs="仿宋"/>
          <w:b/>
          <w:bCs/>
          <w:sz w:val="32"/>
          <w:szCs w:val="32"/>
        </w:rPr>
      </w:pPr>
      <w:bookmarkStart w:id="158" w:name="_Toc23278"/>
      <w:bookmarkStart w:id="159" w:name="_Toc22630"/>
      <w:bookmarkStart w:id="160" w:name="_Toc31936"/>
      <w:r>
        <w:rPr>
          <w:rFonts w:hint="eastAsia" w:ascii="仿宋" w:hAnsi="仿宋" w:eastAsia="仿宋" w:cs="仿宋"/>
          <w:b/>
          <w:bCs/>
          <w:sz w:val="32"/>
          <w:szCs w:val="32"/>
        </w:rPr>
        <w:t>第四节   构建宜养旅游体系</w:t>
      </w:r>
      <w:bookmarkEnd w:id="158"/>
      <w:bookmarkEnd w:id="159"/>
      <w:bookmarkEnd w:id="160"/>
    </w:p>
    <w:p>
      <w:pPr>
        <w:ind w:firstLine="562"/>
        <w:rPr>
          <w:b/>
          <w:bCs/>
        </w:rPr>
      </w:pPr>
      <w:r>
        <w:rPr>
          <w:rFonts w:hint="eastAsia"/>
          <w:b/>
          <w:bCs/>
        </w:rPr>
        <w:t>着力建设精品景区</w:t>
      </w:r>
      <w:r>
        <w:rPr>
          <w:rFonts w:hint="eastAsia"/>
          <w:b/>
        </w:rPr>
        <w:t>。</w:t>
      </w:r>
      <w:r>
        <w:rPr>
          <w:rFonts w:hint="eastAsia" w:ascii="仿宋_GB2312" w:hAnsi="仿宋_GB2312" w:eastAsia="仿宋_GB2312" w:cs="仿宋_GB2312"/>
        </w:rPr>
        <w:t>大力发展度假旅游产品，集中精力建设精品景区，土城红色文化旅游创新区建成全国首屈一指的红色旅游目的地，</w:t>
      </w:r>
      <w:r>
        <w:rPr>
          <w:rFonts w:hint="eastAsia" w:ascii="微软雅黑" w:hAnsi="微软雅黑" w:eastAsia="微软雅黑" w:cs="微软雅黑"/>
        </w:rPr>
        <w:t>鰼</w:t>
      </w:r>
      <w:r>
        <w:rPr>
          <w:rFonts w:hint="eastAsia" w:ascii="仿宋_GB2312" w:hAnsi="仿宋_GB2312" w:eastAsia="仿宋_GB2312" w:cs="仿宋_GB2312"/>
        </w:rPr>
        <w:t>部生态文化度假区建成成渝地区游客旅游康养首选地，力争培育一个5A级景区。</w:t>
      </w:r>
    </w:p>
    <w:p>
      <w:pPr>
        <w:ind w:firstLine="562"/>
      </w:pPr>
      <w:r>
        <w:rPr>
          <w:rFonts w:hint="eastAsia"/>
          <w:b/>
          <w:bCs/>
        </w:rPr>
        <w:t>大力发展康养产业</w:t>
      </w:r>
      <w:r>
        <w:rPr>
          <w:rFonts w:hint="eastAsia" w:ascii="仿宋_GB2312" w:hAnsi="仿宋_GB2312" w:eastAsia="仿宋_GB2312" w:cs="仿宋_GB2312"/>
        </w:rPr>
        <w:t>。依托我县优良的生态资源和气候优势，充分挖掘康养潜力，为旅游产业提供持续发展动力。依托桐梓河流域，打造水上旅游综合体项目；利用赤水河流域旅游绿道、高山峡谷、奇特大桥等载体，发展体育运动康养。依托良好的森林资源，发展森林康养和林特产业、溶洞康养，打造若干森林与溶洞主题的康养度假综合项目。挖掘桑木镇温泉资源，建设温泉酒店、温泉康体中心，发展温泉理疗康养。发挥气候优势，以县城（含马临）为依托，打造文旅康养度假综合服务中心。发挥寨坝、仙源、双龙高海拔优势，打造高山风情森林康养度假小镇。</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专栏12：康养项目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仙源印象康养度假项目、习水县土城水狮坝康养中心建设项目、习水县养老服务体系建设项目、习水县仙源镇康养度假酒店项目、习水县寨坝镇东环线周围土地开发康养度假项目、习水县桑木镇土河村休闲度假综合体建设项目、习水县桑木镇温泉度假康养综合体建设项目、习水县蔺江森林康养示范基地、习水县习部森林度假区地产建设项目、习水县桃林镇天隆村康养旅游项目、习水县九龙街道康养中心建设项目、习水县杉王街道康养中心建设项目、习水县逸养居康养中心建设项目、习水县坭坝乡学堂榜片区康养建设项目、习水县寨坝镇凤凰山康养中心建设项目、习水县中医药康养园建设项目、习水县寨坝镇凤凰山温泉度假区建设项目、习水县桃都养生谷康养度假区建设项目、习水县金州康养度假区建设项目、习水县金兰康养度假区建设项目、习水县凤凰绿洲康养度假区建设项目、习水县戴斯常青藤康养度假区建设项目、习水县云岭翠湖康养度假区建设项目、习水县凤栖伴山康养度假区建设项目、习水县金龙湖康养度假区建设项目、习水县仙池纳里康养度假区建设项目、习水县泰达谷康养度假区建设项目、习水县天泉康养度假区建设项目、习水县云霖仙宇康养度假区建设项目、习水县香巴秘境康养度假区建设项目、习水县坭山原麓康养度假区建设项目、习水县康养中心建设项目、习水县凤凰山康养中心建设项目、习水县湘江半岛康养地产项目、习水县</w:t>
            </w:r>
            <w:r>
              <w:rPr>
                <w:rFonts w:hint="eastAsia" w:ascii="微软雅黑" w:hAnsi="微软雅黑" w:eastAsia="微软雅黑" w:cs="微软雅黑"/>
                <w:sz w:val="24"/>
                <w:szCs w:val="24"/>
                <w:lang w:bidi="ar"/>
              </w:rPr>
              <w:t>鳛</w:t>
            </w:r>
            <w:r>
              <w:rPr>
                <w:rFonts w:hint="eastAsia" w:ascii="楷体_GB2312" w:hAnsi="楷体_GB2312" w:eastAsia="楷体_GB2312" w:cs="楷体_GB2312"/>
                <w:sz w:val="24"/>
                <w:szCs w:val="24"/>
                <w:lang w:bidi="ar"/>
              </w:rPr>
              <w:t xml:space="preserve">国文化园文旅康养项目。 </w:t>
            </w:r>
          </w:p>
        </w:tc>
      </w:tr>
    </w:tbl>
    <w:p>
      <w:pPr>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ascii="仿宋_GB2312" w:hAnsi="仿宋_GB2312" w:eastAsia="仿宋_GB2312" w:cs="仿宋_GB2312"/>
        </w:rPr>
      </w:pPr>
      <w:r>
        <w:rPr>
          <w:rFonts w:hint="eastAsia" w:ascii="仿宋_GB2312" w:hAnsi="仿宋_GB2312" w:eastAsia="仿宋_GB2312" w:cs="仿宋_GB2312"/>
          <w:b/>
        </w:rPr>
        <w:t>打造特色旅游产品。</w:t>
      </w:r>
      <w:r>
        <w:rPr>
          <w:rFonts w:hint="eastAsia" w:ascii="仿宋_GB2312" w:hAnsi="仿宋_GB2312" w:eastAsia="仿宋_GB2312" w:cs="仿宋_GB2312"/>
        </w:rPr>
        <w:t>围绕“旅游+”多产业融合发展，着力开发独具特色的旅游产品，为建设黔川渝县域结合部旅居中心，打造全国山地康养度假圣地提供支撑。</w:t>
      </w:r>
      <w:r>
        <w:rPr>
          <w:rFonts w:hint="eastAsia" w:ascii="仿宋_GB2312" w:hAnsi="仿宋_GB2312" w:eastAsia="仿宋_GB2312" w:cs="仿宋_GB2312"/>
          <w:b/>
        </w:rPr>
        <w:t>一是推动旅游+文化融合发展。</w:t>
      </w:r>
      <w:r>
        <w:rPr>
          <w:rFonts w:hint="eastAsia" w:ascii="仿宋_GB2312" w:hAnsi="仿宋_GB2312" w:eastAsia="仿宋_GB2312" w:cs="仿宋_GB2312"/>
        </w:rPr>
        <w:t>以建设长征国家文化公园为契机，深入挖掘红色文化，推动四渡赤水战役渡口遗址（土城、二郎滩、淋滩）基础设施项目、黔北游击队陈列馆等红色文旅项目建设。大力发展红色培训、红色研学，创作特色文艺演艺节目，打造具有习水特色的红色文化旅游产品。加快鰼国文化园、鰼部森林度假区等重点文旅项目建设。挖掘少数民族特色旅游资源，依托桑木镇土河村少数民族特色村寨，推动“土河荷塘苗乡”与少数民族特色相融合，打造少数民族文化旅游产品。</w:t>
      </w:r>
      <w:r>
        <w:rPr>
          <w:rFonts w:hint="eastAsia" w:ascii="仿宋_GB2312" w:hAnsi="仿宋_GB2312" w:eastAsia="仿宋_GB2312" w:cs="仿宋_GB2312"/>
          <w:b/>
        </w:rPr>
        <w:t>二是推动旅游+白酒融合发展。</w:t>
      </w:r>
      <w:r>
        <w:rPr>
          <w:rFonts w:hint="eastAsia" w:ascii="仿宋_GB2312" w:hAnsi="仿宋_GB2312" w:eastAsia="仿宋_GB2312" w:cs="仿宋_GB2312"/>
        </w:rPr>
        <w:t>建设习酒文化博物馆，打造中国習酒城。规划建设一批集餐饮、住宿、娱乐、休闲为一体的主题酒寨、特色酒庄。大力开发白酒旅游产品，打造一批“白酒+生态旅游、红色旅游、乡村旅游”的精品线路。</w:t>
      </w:r>
      <w:r>
        <w:rPr>
          <w:rFonts w:hint="eastAsia" w:ascii="仿宋_GB2312" w:hAnsi="仿宋_GB2312" w:eastAsia="仿宋_GB2312" w:cs="仿宋_GB2312"/>
          <w:b/>
        </w:rPr>
        <w:t>三是推动旅游+农业融合发展。</w:t>
      </w:r>
      <w:r>
        <w:rPr>
          <w:rFonts w:hint="eastAsia" w:ascii="仿宋_GB2312" w:hAnsi="仿宋_GB2312" w:eastAsia="仿宋_GB2312" w:cs="仿宋_GB2312"/>
        </w:rPr>
        <w:t>深入实施乡村振兴战略，大力发展休闲农业和乡村旅游，开发一批农业观光、果蔬采摘、农旅研学的休闲体验项目。</w:t>
      </w:r>
      <w:r>
        <w:rPr>
          <w:rFonts w:hint="eastAsia" w:ascii="仿宋_GB2312" w:hAnsi="仿宋_GB2312" w:eastAsia="仿宋_GB2312" w:cs="仿宋_GB2312"/>
          <w:b/>
        </w:rPr>
        <w:t>四是推动旅游+体育融合发展。</w:t>
      </w:r>
      <w:r>
        <w:rPr>
          <w:rFonts w:hint="eastAsia" w:ascii="仿宋_GB2312" w:hAnsi="仿宋_GB2312" w:eastAsia="仿宋_GB2312" w:cs="仿宋_GB2312"/>
        </w:rPr>
        <w:t>加强与成渝经济圈健身休闲市场衔接，促进资本、人才、技术、项目加快集聚，全面加强健身休闲服务设施建设。围绕促进全民健身与全民健康深度融合，组织开展多种日常健身休闲活动，并利用节假日、“全民健身日”等组织大型健身活动，不断繁荣体育健身市场，拓展消费途径，发展体育经济。利用赤水河谷国家度假区品牌优势，打造桐梓河漂流、观摩湖水上运动基地等体育项目，着力创建国家体育旅游示范基地。将箐山水库、三八水库打造成为水上运动乐园和冬泳基地。通过市场化运作方式，创新举办北纬28.3最美森林徒步越野挑战赛、赤水河谷“为爱而蹬”自行车邀请赛、鰼部森林自行车越野挑战赛等体育赛事，积极推动体育赛事进景区，打造习水特色体育旅游品牌。以二郎镇为起点，还原“二郎经河流－桑木温泉－永安神仙洞－润南两岔河－良村羊化－双龙－温水”的红军长征路线，建设“重走长征路”体验游步道，通过体育运动推动沿线乡镇旅游产业发展。</w:t>
      </w:r>
      <w:r>
        <w:rPr>
          <w:rFonts w:hint="eastAsia" w:ascii="仿宋_GB2312" w:hAnsi="仿宋_GB2312" w:eastAsia="仿宋_GB2312" w:cs="仿宋_GB2312"/>
          <w:b/>
        </w:rPr>
        <w:t>五是推动旅游+林业融合发展。</w:t>
      </w:r>
      <w:r>
        <w:rPr>
          <w:rFonts w:hint="eastAsia" w:ascii="仿宋_GB2312" w:hAnsi="仿宋_GB2312" w:eastAsia="仿宋_GB2312" w:cs="仿宋_GB2312"/>
        </w:rPr>
        <w:t>结合自然保护区、森林公园、风景名胜区和其他森林资源，积极推进森林康养步道体系建设。依托良好的森林资源发展生态种植、生态养殖、生态农特产品，助推林旅产业经济发展。</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专栏13：特色旅游项目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 xml:space="preserve">习水县土城镇红花特色旅游商品加工园区建设项目、习水县文体中心建设项目、习水县土城镇九龙囤古军事景区开发项目、习水县黄金湾遗址博物馆建设项目、习水县大坡飞鸽景区提升改造项目、习水县三岔河天水池村文化旅游景区打造项目建设工程、习水县仙源镇福门避暑山庄建设项目、习水县仙源云邸项目、习水县仙源滑雪场建设项目、习水县仙源镇汽车露营基地建设项目、习水县仙源镇森林度假酒店项目、习水县赤水河红军大桥旅游建设项目、习水县二台子度假旅游生态园建设、习水县游乐园项目、习水县桑木温泉项目、习水县南天门清溪沟、大坪山露营基地基础配套设施建设项目、习水县杉王街道羊九村生态家园游乐场建设项目、习水县桃林镇天隆度假旅游生态园建设项目、习水县永安镇亚高原水上训练基地项目、习水县鰼水之源寨坝老粮站特色文化旅游景点打造、习水县凤凰山自行车骑行道（一期）骑行广场项目、习水县尚逸乡村旅游项目、习水县大坡镇乡村民宿示范点建设项目、习水县桑木镇当坝村生态农业宜居乡村综合体建设项目、习水县桑木镇土河荷塘苗乡景区文化馆、接待室建设项目、习水县大坡镇游客集散中心项目、习水县大坡镇旅游地产开发项目、习水县良村镇大坭坝知青部落茶旅一体化建设项目、习水县沔山旅游地产项目、习水县桃林镇红河沟景区开发项目、习水县乡村旅游建设项目、习水县户外拓展基地建设项目、习水县仙源高山草场综合旅游建设项目、习水县双龙乡山地运动特色小镇建设项目、习水县三岔河镇水井组民宿建设项目、习水县鰼创区旅游基础设施配套工程、土城景区周边环境综合整治项目、习水县土城国家研学教育营地建设项目。 </w:t>
            </w:r>
          </w:p>
        </w:tc>
      </w:tr>
    </w:tbl>
    <w:p>
      <w:pPr>
        <w:ind w:firstLine="562"/>
        <w:rPr>
          <w:rFonts w:ascii="仿宋_GB2312" w:hAnsi="仿宋_GB2312" w:eastAsia="仿宋_GB2312" w:cs="仿宋_GB2312"/>
        </w:rPr>
      </w:pPr>
      <w:r>
        <w:rPr>
          <w:rFonts w:hint="eastAsia" w:ascii="仿宋_GB2312" w:hAnsi="仿宋_GB2312" w:eastAsia="仿宋_GB2312" w:cs="仿宋_GB2312"/>
          <w:b/>
        </w:rPr>
        <w:t>聚力亮点项目建设。</w:t>
      </w:r>
      <w:r>
        <w:rPr>
          <w:rFonts w:hint="eastAsia" w:ascii="仿宋_GB2312" w:hAnsi="仿宋_GB2312" w:eastAsia="仿宋_GB2312" w:cs="仿宋_GB2312"/>
          <w:bCs/>
        </w:rPr>
        <w:t>与国内外专业机构合作，精心策划一批亮点突出、落地性强、带动作用大、产出效益好的旅游大项目</w:t>
      </w:r>
      <w:r>
        <w:rPr>
          <w:rFonts w:hint="eastAsia" w:ascii="仿宋_GB2312" w:hAnsi="仿宋_GB2312" w:eastAsia="仿宋_GB2312" w:cs="仿宋_GB2312"/>
        </w:rPr>
        <w:t>，引入有实力、有团队、有经验的投资运营机构，打造成习水文旅康养度假亮点项目，提升我县文旅康养度假影响力和知名度，促进全县文旅康养度假产业跨越式发展。</w:t>
      </w:r>
    </w:p>
    <w:p>
      <w:pPr>
        <w:ind w:firstLine="562"/>
        <w:rPr>
          <w:rFonts w:ascii="仿宋_GB2312" w:hAnsi="仿宋_GB2312" w:eastAsia="仿宋_GB2312" w:cs="仿宋_GB2312"/>
        </w:rPr>
      </w:pPr>
      <w:r>
        <w:rPr>
          <w:rFonts w:hint="eastAsia" w:ascii="仿宋_GB2312" w:hAnsi="仿宋_GB2312" w:eastAsia="仿宋_GB2312" w:cs="仿宋_GB2312"/>
          <w:b/>
          <w:bCs/>
        </w:rPr>
        <w:t>培育旅游市场主体</w:t>
      </w:r>
      <w:r>
        <w:rPr>
          <w:rFonts w:hint="eastAsia" w:ascii="仿宋_GB2312" w:hAnsi="仿宋_GB2312" w:eastAsia="仿宋_GB2312" w:cs="仿宋_GB2312"/>
        </w:rPr>
        <w:t>。做强做大旅游龙头企业，强化旅游景区运营管理，通过市场行为，全面盘活景区。强化旅游项目融资和招商引资，不断完善景区业态和产品。强化旅游行业监管，规范行业秩序。大力发展旅行社（旅游服务网点）、旅游车队等旅游企业，不断提升旅游服务质量，推动我县旅游高质量发展。</w:t>
      </w:r>
    </w:p>
    <w:p>
      <w:pPr>
        <w:ind w:firstLine="562"/>
        <w:rPr>
          <w:rFonts w:ascii="仿宋_GB2312" w:hAnsi="仿宋_GB2312" w:eastAsia="仿宋_GB2312" w:cs="仿宋_GB2312"/>
        </w:rPr>
      </w:pPr>
      <w:r>
        <w:rPr>
          <w:rFonts w:hint="eastAsia" w:ascii="仿宋_GB2312" w:hAnsi="仿宋_GB2312" w:eastAsia="仿宋_GB2312" w:cs="仿宋_GB2312"/>
          <w:b/>
          <w:bCs/>
        </w:rPr>
        <w:t>创新旅游宣传营销。</w:t>
      </w:r>
      <w:r>
        <w:rPr>
          <w:rFonts w:hint="eastAsia" w:ascii="仿宋_GB2312" w:hAnsi="仿宋_GB2312" w:eastAsia="仿宋_GB2312" w:cs="仿宋_GB2312"/>
        </w:rPr>
        <w:t>精准定位成渝地区的客源市场，强化区域协作，捆绑推动区域旅游整体营销，提升区域旅游的竞争力。强化线上线下融合，创新网络营销，打造“网红景点”“网红产品”。推动文化活动、体育赛事进景区，打造系列文体旅游精品活动品牌。加强旅游资源整合，开发一批旅游精品线路。整合多元营销渠道，加大旅游宣传推广力度，不断提升“绿洲红城·鰼国故里”品牌知名度。</w:t>
      </w:r>
    </w:p>
    <w:p>
      <w:pPr>
        <w:pStyle w:val="5"/>
        <w:jc w:val="center"/>
        <w:rPr>
          <w:rFonts w:ascii="仿宋" w:hAnsi="仿宋" w:eastAsia="仿宋" w:cs="仿宋"/>
          <w:b/>
          <w:bCs/>
          <w:sz w:val="32"/>
          <w:szCs w:val="32"/>
        </w:rPr>
      </w:pPr>
      <w:bookmarkStart w:id="161" w:name="_Toc2584"/>
      <w:bookmarkStart w:id="162" w:name="_Toc10848"/>
      <w:bookmarkStart w:id="163" w:name="_Toc3869"/>
      <w:r>
        <w:rPr>
          <w:rFonts w:hint="eastAsia" w:ascii="仿宋" w:hAnsi="仿宋" w:eastAsia="仿宋" w:cs="仿宋"/>
          <w:b/>
          <w:bCs/>
          <w:sz w:val="32"/>
          <w:szCs w:val="32"/>
        </w:rPr>
        <w:t>第五节   构建生态保护体系</w:t>
      </w:r>
      <w:bookmarkEnd w:id="161"/>
      <w:bookmarkEnd w:id="162"/>
      <w:bookmarkEnd w:id="163"/>
      <w:r>
        <w:rPr>
          <w:rFonts w:hint="eastAsia" w:ascii="仿宋" w:hAnsi="仿宋" w:eastAsia="仿宋" w:cs="仿宋"/>
          <w:b/>
          <w:bCs/>
          <w:sz w:val="32"/>
          <w:szCs w:val="32"/>
        </w:rPr>
        <w:t xml:space="preserve"> </w:t>
      </w:r>
    </w:p>
    <w:p>
      <w:pPr>
        <w:ind w:firstLine="562"/>
        <w:rPr>
          <w:rFonts w:ascii="仿宋_GB2312" w:hAnsi="仿宋_GB2312" w:eastAsia="仿宋_GB2312" w:cs="仿宋_GB2312"/>
        </w:rPr>
      </w:pPr>
      <w:r>
        <w:rPr>
          <w:rFonts w:hint="eastAsia" w:ascii="仿宋_GB2312" w:hAnsi="仿宋_GB2312" w:eastAsia="仿宋_GB2312" w:cs="仿宋_GB2312"/>
          <w:b/>
          <w:bCs/>
        </w:rPr>
        <w:t>创建“两山”理论实践创新基地。</w:t>
      </w:r>
      <w:r>
        <w:rPr>
          <w:rFonts w:hint="eastAsia" w:ascii="仿宋_GB2312" w:hAnsi="仿宋_GB2312" w:eastAsia="仿宋_GB2312" w:cs="仿宋_GB2312"/>
        </w:rPr>
        <w:t>深入实施大生态战略行动，将生态文明理念贯穿经济社会发展全领域、各环节，加快经济社会发展全面绿色转型，巩固全国生态文明建设示范县创建成果，积极创建“两山”理论实践创新基地，助力全市建设绿色发展示范区。把修复长江生态环境摆在压倒性位置，加强赤水河流域生态保护治理，严格落实长江十年禁渔重大任务，筑牢长江上游重要生态屏障。</w:t>
      </w:r>
    </w:p>
    <w:p>
      <w:pPr>
        <w:ind w:firstLine="562"/>
        <w:rPr>
          <w:rFonts w:ascii="仿宋_GB2312" w:hAnsi="仿宋_GB2312" w:eastAsia="仿宋_GB2312" w:cs="仿宋_GB2312"/>
        </w:rPr>
      </w:pPr>
      <w:r>
        <w:rPr>
          <w:rFonts w:hint="eastAsia" w:ascii="仿宋_GB2312" w:hAnsi="仿宋_GB2312" w:eastAsia="仿宋_GB2312" w:cs="仿宋_GB2312"/>
          <w:b/>
          <w:bCs/>
        </w:rPr>
        <w:t>积极推进水污染治理。</w:t>
      </w:r>
      <w:r>
        <w:rPr>
          <w:rFonts w:hint="eastAsia" w:ascii="仿宋_GB2312" w:hAnsi="仿宋_GB2312" w:eastAsia="仿宋_GB2312" w:cs="仿宋_GB2312"/>
        </w:rPr>
        <w:t>坚决禁止污水直排入河，推进管网覆盖改造提升，实施生活污水全收集、全处理。消除内源污染，提高水系自净能力。加大对城市河道、东风湖湿地公园等湖泊湿地的保护和治理力度。重点整治鳛部园区旅游地产附近水库（山塘）的水污染、习酒工业园区水污染、二郎电厂水污染和城镇水污染。合理选择治理技术，运用农村生活污水治理、农村厕所粪污治理、畜禽粪污治理、水产养殖污染防控、种植业面源污染治理、工业废水污染治理及垃圾清理等技术措施，着力改善地表水环境，全面消除黑臭水体。推进“河长制”，完善水环境管护长效机制。</w:t>
      </w:r>
    </w:p>
    <w:p>
      <w:pPr>
        <w:ind w:firstLine="562"/>
        <w:rPr>
          <w:rFonts w:ascii="仿宋_GB2312" w:hAnsi="仿宋_GB2312" w:eastAsia="仿宋_GB2312" w:cs="仿宋_GB2312"/>
        </w:rPr>
      </w:pPr>
      <w:r>
        <w:rPr>
          <w:rFonts w:hint="eastAsia" w:ascii="仿宋_GB2312" w:hAnsi="仿宋_GB2312" w:eastAsia="仿宋_GB2312" w:cs="仿宋_GB2312"/>
          <w:b/>
          <w:bCs/>
        </w:rPr>
        <w:t>加强流域整治修复。</w:t>
      </w:r>
      <w:r>
        <w:rPr>
          <w:rFonts w:hint="eastAsia" w:ascii="仿宋_GB2312" w:hAnsi="仿宋_GB2312" w:eastAsia="仿宋_GB2312" w:cs="仿宋_GB2312"/>
          <w:bCs/>
        </w:rPr>
        <w:t>加</w:t>
      </w:r>
      <w:r>
        <w:rPr>
          <w:rFonts w:hint="eastAsia" w:ascii="仿宋_GB2312" w:hAnsi="仿宋_GB2312" w:eastAsia="仿宋_GB2312" w:cs="仿宋_GB2312"/>
        </w:rPr>
        <w:t>强赤水河、桐梓河、习水河三大重点流域污染防治和生态修复，统筹山水林田湖综合治理，改善流域生态环境。狠抓工业污染防治，加强重点污染企业清洁生产审核，降低主要行业的能耗、物耗、水耗和污染物排放强度。全面落实排污许可证发放工作，严禁企业无证排污。完善排污申报制度，加大各河流沿线废水、废渣排放企业的动态管理，确保按期完成关停、淘汰、搬迁、限期治理和深度治理任务。推进白酒企业污水治理，启动习酒临河综合整治。全面完成赤水河习水河两侧10公里内废旧露天矿山生态修复工作。积极推进支流河口整治项目和干流河道生态修复工程。继续推进小水电关停取缔工作。</w:t>
      </w:r>
    </w:p>
    <w:p>
      <w:pPr>
        <w:ind w:firstLine="562"/>
        <w:rPr>
          <w:rFonts w:ascii="仿宋_GB2312" w:hAnsi="仿宋_GB2312" w:eastAsia="仿宋_GB2312" w:cs="仿宋_GB2312"/>
        </w:rPr>
      </w:pPr>
      <w:r>
        <w:rPr>
          <w:rFonts w:hint="eastAsia" w:ascii="仿宋_GB2312" w:hAnsi="仿宋_GB2312" w:eastAsia="仿宋_GB2312" w:cs="仿宋_GB2312"/>
          <w:b/>
          <w:bCs/>
        </w:rPr>
        <w:t>积极强化节能减排。</w:t>
      </w:r>
      <w:r>
        <w:rPr>
          <w:rFonts w:hint="eastAsia" w:ascii="仿宋_GB2312" w:hAnsi="仿宋_GB2312" w:eastAsia="仿宋_GB2312" w:cs="仿宋_GB2312"/>
        </w:rPr>
        <w:t>严格执行节能评估和审查制度，实施能源合同管理和试点推行节能量交易。加快制定主要耗能产品地方能耗限额标准。鼓励和发展绿色低碳建筑，推广建筑节能新技术、新产品，组织实施可再生能源建筑应用示范工程。严格执行国家规定的车辆淘汰制度，推动发展绿色城市公共交通。组织开展商贸行业及政府机关、科教文卫体等机构空调、电梯和照明等用能设备节能改造，实施节能产品惠民工程。</w:t>
      </w:r>
    </w:p>
    <w:p>
      <w:pPr>
        <w:ind w:firstLine="562"/>
        <w:rPr>
          <w:rFonts w:ascii="仿宋_GB2312" w:hAnsi="仿宋_GB2312" w:eastAsia="仿宋_GB2312" w:cs="仿宋_GB2312"/>
        </w:rPr>
      </w:pPr>
      <w:r>
        <w:rPr>
          <w:rFonts w:hint="eastAsia" w:ascii="仿宋_GB2312" w:hAnsi="仿宋_GB2312" w:eastAsia="仿宋_GB2312" w:cs="仿宋_GB2312"/>
          <w:b/>
          <w:bCs/>
        </w:rPr>
        <w:t>完善循环经济体系。</w:t>
      </w:r>
      <w:r>
        <w:rPr>
          <w:rFonts w:hint="eastAsia" w:ascii="仿宋_GB2312" w:hAnsi="仿宋_GB2312" w:eastAsia="仿宋_GB2312" w:cs="仿宋_GB2312"/>
        </w:rPr>
        <w:t>加强循环经济示范企业、示范园区和基地建设，推进生产、流通、消费各环节发展循环经济。工业上重点推进酒糟、余热余压、煤灰煤渣、瓦斯等综合循环利用。大力实施酒糟循环利用工程，以酒糟作燃料、饲料、肥料、食用菌培养基，促进高粱种植业与食用菌业有机联动；利用智能化设施生产复糟酒，实现酒糟资源化利用。农业上重点建成投用畜禽粪污资源化利用整县推进项目，推进猪牛羊粪便综合循环利用。发展生态立体循环农业，推广秸秆综合利用，探索实行耕地轮作休耕制度试点。</w:t>
      </w:r>
    </w:p>
    <w:p>
      <w:pPr>
        <w:ind w:firstLine="562"/>
        <w:rPr>
          <w:rFonts w:ascii="仿宋_GB2312" w:hAnsi="仿宋_GB2312" w:eastAsia="仿宋_GB2312" w:cs="仿宋_GB2312"/>
        </w:rPr>
      </w:pPr>
      <w:r>
        <w:rPr>
          <w:rFonts w:hint="eastAsia" w:ascii="仿宋_GB2312" w:hAnsi="仿宋_GB2312" w:eastAsia="仿宋_GB2312" w:cs="仿宋_GB2312"/>
          <w:b/>
          <w:bCs/>
        </w:rPr>
        <w:t>重视大气污染防治。</w:t>
      </w:r>
      <w:r>
        <w:rPr>
          <w:rFonts w:hint="eastAsia" w:ascii="仿宋_GB2312" w:hAnsi="仿宋_GB2312" w:eastAsia="仿宋_GB2312" w:cs="仿宋_GB2312"/>
        </w:rPr>
        <w:t>加强对燃煤、工业、机动车、扬尘、农业等大气污染的综合防治。加强各类扬尘污染管控，开展房屋建设、拆迁工地及公路运输扬尘污染整治工作。划定高污染燃料禁燃区，全面禁止秸秆等农业废物焚烧。开展机动车氮氧化物控制，加速淘汰老旧汽车、机车，加快车用燃油清洁化进程，提高新能源汽车使用比例，实施加油站、油库和油罐车的油气回收综合治理工程。</w:t>
      </w:r>
    </w:p>
    <w:p>
      <w:pPr>
        <w:ind w:firstLine="562"/>
        <w:rPr>
          <w:rFonts w:ascii="仿宋_GB2312" w:hAnsi="仿宋_GB2312" w:eastAsia="仿宋_GB2312" w:cs="仿宋_GB2312"/>
        </w:rPr>
      </w:pPr>
      <w:r>
        <w:rPr>
          <w:rFonts w:hint="eastAsia" w:ascii="仿宋_GB2312" w:hAnsi="仿宋_GB2312" w:eastAsia="仿宋_GB2312" w:cs="仿宋_GB2312"/>
          <w:b/>
          <w:bCs/>
        </w:rPr>
        <w:t>妥善处置固废垃圾。</w:t>
      </w:r>
      <w:r>
        <w:rPr>
          <w:rFonts w:hint="eastAsia" w:ascii="仿宋_GB2312" w:hAnsi="仿宋_GB2312" w:eastAsia="仿宋_GB2312" w:cs="仿宋_GB2312"/>
        </w:rPr>
        <w:t>加快城区生活垃圾分类收集、储运和处理系统建设，高标准运行城区生活垃圾处置设施。建立全县医疗废物集中收集、运输、贮存、处置系统，集中妥善处置医疗废物。</w:t>
      </w:r>
    </w:p>
    <w:p>
      <w:pPr>
        <w:ind w:firstLine="562"/>
        <w:rPr>
          <w:rFonts w:ascii="仿宋_GB2312" w:hAnsi="仿宋_GB2312" w:eastAsia="仿宋_GB2312" w:cs="仿宋_GB2312"/>
        </w:rPr>
      </w:pPr>
      <w:r>
        <w:rPr>
          <w:rFonts w:hint="eastAsia" w:ascii="仿宋_GB2312" w:hAnsi="仿宋_GB2312" w:eastAsia="仿宋_GB2312" w:cs="仿宋_GB2312"/>
          <w:b/>
          <w:bCs/>
        </w:rPr>
        <w:t>强化土壤污染监测。</w:t>
      </w:r>
      <w:r>
        <w:rPr>
          <w:rFonts w:hint="eastAsia" w:ascii="仿宋_GB2312" w:hAnsi="仿宋_GB2312" w:eastAsia="仿宋_GB2312" w:cs="仿宋_GB2312"/>
        </w:rPr>
        <w:t>禁止将不符合农用标准和环境保护标准的固体废物、废水施入农田，禁止使用重金属等有毒有害物质超标的肥料。严格控制使用农用化学品，推广使用低毒农药、生物农药。开展污染场地、土壤污染治理与修复试点示范，推进污染场地和土壤修复。提高土壤环境监测能力，探索划定土壤环境优先保护区域，对粮食、蔬菜基地等敏感区进行重点调查和监测。</w:t>
      </w:r>
    </w:p>
    <w:p>
      <w:pPr>
        <w:ind w:firstLine="562"/>
        <w:rPr>
          <w:rFonts w:ascii="仿宋_GB2312" w:hAnsi="仿宋_GB2312" w:eastAsia="仿宋_GB2312" w:cs="仿宋_GB2312"/>
        </w:rPr>
      </w:pPr>
      <w:r>
        <w:rPr>
          <w:rFonts w:hint="eastAsia" w:ascii="仿宋_GB2312" w:hAnsi="仿宋_GB2312" w:eastAsia="仿宋_GB2312" w:cs="仿宋_GB2312"/>
          <w:b/>
          <w:bCs/>
        </w:rPr>
        <w:t>加强噪声污染防治。</w:t>
      </w:r>
      <w:r>
        <w:rPr>
          <w:rFonts w:hint="eastAsia" w:ascii="仿宋_GB2312" w:hAnsi="仿宋_GB2312" w:eastAsia="仿宋_GB2312" w:cs="仿宋_GB2312"/>
        </w:rPr>
        <w:t>加强城区声环境达标管理，建立噪声达标区。做好重点噪声源控制，进一步扩大汽车禁鸣区范围，采用道路声屏障、隔声窗等方式最大限度地减少交通噪声。</w:t>
      </w:r>
    </w:p>
    <w:p>
      <w:pPr>
        <w:ind w:firstLine="562"/>
        <w:rPr>
          <w:rFonts w:ascii="仿宋_GB2312" w:hAnsi="仿宋_GB2312" w:eastAsia="仿宋_GB2312" w:cs="仿宋_GB2312"/>
        </w:rPr>
      </w:pPr>
      <w:bookmarkStart w:id="164" w:name="_Toc8358"/>
      <w:bookmarkStart w:id="165" w:name="_Toc7852"/>
      <w:r>
        <w:rPr>
          <w:rFonts w:hint="eastAsia" w:ascii="仿宋_GB2312" w:hAnsi="仿宋_GB2312" w:eastAsia="仿宋_GB2312" w:cs="仿宋_GB2312"/>
          <w:b/>
          <w:bCs/>
        </w:rPr>
        <w:t>完善生态环境监管制度。</w:t>
      </w:r>
      <w:bookmarkEnd w:id="164"/>
      <w:r>
        <w:rPr>
          <w:rFonts w:hint="eastAsia" w:ascii="仿宋_GB2312" w:hAnsi="仿宋_GB2312" w:eastAsia="仿宋_GB2312" w:cs="仿宋_GB2312"/>
        </w:rPr>
        <w:t>落实建设项目“环保第一审批权”和“一票否决权”，真正从源头上控制污染产生。推动环境影响评价制度在城市规划、土地规划、区域资源开发、开发区、产业结构调整等重大决策过程中的落实。建立以环境容量为基础的新建项目审批机制和工业类项目环境保护准入标准，严禁没有环境容量的区域新建对环境有影响的项目。</w:t>
      </w:r>
      <w:bookmarkEnd w:id="165"/>
      <w:bookmarkStart w:id="166" w:name="_Toc30509"/>
      <w:r>
        <w:rPr>
          <w:rFonts w:hint="eastAsia" w:ascii="仿宋_GB2312" w:hAnsi="仿宋_GB2312" w:eastAsia="仿宋_GB2312" w:cs="仿宋_GB2312"/>
        </w:rPr>
        <w:t>加强与周边地区合作，共同探索跨行政区环境执法合作机制和部门联动执法机制。深入开展整治违法排污企业保障群众健康环保专项行动。健全排污许可、达标排放、总量控制、环境风险防控、清洁生产审核、环境信息公开等制度。健全重大环境事件和污染事故责任追究制度。</w:t>
      </w:r>
      <w:bookmarkEnd w:id="166"/>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专栏14：生态环保类项目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firstLine="480"/>
              <w:rPr>
                <w:rFonts w:ascii="楷体_GB2312" w:hAnsi="楷体_GB2312" w:eastAsia="楷体_GB2312" w:cs="楷体_GB2312"/>
                <w:sz w:val="24"/>
                <w:szCs w:val="24"/>
                <w:lang w:bidi="ar"/>
              </w:rPr>
            </w:pPr>
            <w:r>
              <w:rPr>
                <w:rFonts w:hint="eastAsia" w:ascii="楷体_GB2312" w:hAnsi="楷体_GB2312" w:eastAsia="楷体_GB2312" w:cs="楷体_GB2312"/>
                <w:sz w:val="24"/>
                <w:szCs w:val="24"/>
                <w:lang w:bidi="ar"/>
              </w:rPr>
              <w:t>1、生态修复项目：习水县国家储备林建设项目、习水县县城补植补栽工程、习水县经开区重点区域裸露山体治理项目、习水县赤水河（习水县段）河道治理工程、习水县农村水系水生态综合治理项目、习水县同民镇河道治理工程项目、习水县县城规划区水系水环境综合治理、习水县官店镇全线河道治理工程、习水县坭坝乡河道治理工程、习水县民化镇河道综合治理工程、习水县桐梓河流干线生态修复项目、习水县习水河流域土城段生态修复项目、习水县赤水河流域生态修复建设项目、习水县下漓河河道治理项目、习水县清洁小流域建设工程、习水县小流域水土流失治理工程、习水县县城河道生态保护修复工程、习水县先锋村沿河生态保护工程、习水县官店镇河流干线生态修复项目、习水县沙溪河河道整治工程、习水县矿山地质环境保护与治理恢复工程、习水县天然林保护修复项目、习水县东风水库水生态综合治理工程、习水县官店镇三星村溶洞群生态保护开发工程、习水县桃林镇溶洞集群开发项目、习水县湿地保护与修复工程、习水县野生动物保护建设项目、习水县气象局基础设施建设项目、习水县农村水生态保护与修复工程、习水县官店镇溶洞群生态保护项目、习水县重点水库水源地涵养与保护工程、习水县集镇饮用水水源涵养与保护工程、习水县新一轮退耕还林工程、习水县地灾治理工程、习水县坡耕地水土流失综合治理工程。</w:t>
            </w:r>
          </w:p>
          <w:p>
            <w:pPr>
              <w:spacing w:line="460" w:lineRule="exact"/>
              <w:ind w:firstLine="480"/>
              <w:rPr>
                <w:rFonts w:ascii="楷体_GB2312" w:hAnsi="楷体_GB2312" w:eastAsia="楷体_GB2312" w:cs="楷体_GB2312"/>
                <w:sz w:val="24"/>
                <w:szCs w:val="24"/>
                <w:lang w:bidi="ar"/>
              </w:rPr>
            </w:pPr>
            <w:r>
              <w:rPr>
                <w:rFonts w:hint="eastAsia" w:ascii="楷体_GB2312" w:hAnsi="楷体_GB2312" w:eastAsia="楷体_GB2312" w:cs="楷体_GB2312"/>
                <w:sz w:val="24"/>
                <w:szCs w:val="24"/>
                <w:lang w:bidi="ar"/>
              </w:rPr>
              <w:t>2、污染治理项目：习水县水务智能一体化工程建设项目、习水县凤凰山污水处理厂（打捆）建设项目、习水县大坡镇村污水处理系统全覆盖项目、习水县环卫设施项目、习水县乡镇公共厕所建设项目、习水县城市污水处理中水回用项目、习水县县城分散式污水处理站、习水县乡镇污水处理厂扩容增效项目、习水县“十四五”面源污染治理项目、习水县村级污水处理项目（赤水河、习水河、桐梓河流域旁村镇污水处理）。</w:t>
            </w:r>
          </w:p>
          <w:p>
            <w:pPr>
              <w:spacing w:line="46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3、循环经济项目：习水县废旧农膜循环利用项目、习水县秸秆回收利用项目、习水县10万吨/年废旧轮胎蓄热式旋转床绝氧热解处理项目、习水县青砼及废旧沥青再生资源综合利用项目、习水县回龙镇酒糟综合利用建设项目、习水县反刍饲料生产线建设项目、习水县有机肥加工厂建设项目。</w:t>
            </w:r>
          </w:p>
        </w:tc>
      </w:tr>
    </w:tbl>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167" w:name="_Toc12668"/>
      <w:bookmarkStart w:id="168" w:name="_Toc28409"/>
      <w:bookmarkStart w:id="169" w:name="_Toc28340"/>
      <w:r>
        <w:rPr>
          <w:rFonts w:hint="eastAsia" w:ascii="方正小标宋简体" w:hAnsi="方正小标宋简体" w:eastAsia="方正小标宋简体" w:cs="方正小标宋简体"/>
          <w:b w:val="0"/>
          <w:bCs/>
          <w:sz w:val="32"/>
          <w:szCs w:val="32"/>
        </w:rPr>
        <w:t>第七章    坚持特色引领，着力发展现代服务业</w:t>
      </w:r>
      <w:bookmarkEnd w:id="167"/>
      <w:bookmarkEnd w:id="168"/>
      <w:bookmarkEnd w:id="169"/>
    </w:p>
    <w:p>
      <w:pPr>
        <w:ind w:firstLine="560"/>
        <w:rPr>
          <w:rFonts w:ascii="仿宋_GB2312" w:hAnsi="仿宋_GB2312" w:eastAsia="仿宋_GB2312" w:cs="仿宋_GB2312"/>
        </w:rPr>
      </w:pPr>
      <w:r>
        <w:rPr>
          <w:rFonts w:hint="eastAsia" w:ascii="仿宋_GB2312" w:hAnsi="仿宋_GB2312" w:eastAsia="仿宋_GB2312" w:cs="仿宋_GB2312"/>
        </w:rPr>
        <w:t>按照聚焦重点、打造龙头、提升亮点、强化支撑、转变模式的发展思路，大力发展商贸服务、现代物流、金融服务和其他现代服务业，培育习水发展新动能。</w:t>
      </w:r>
    </w:p>
    <w:p>
      <w:pPr>
        <w:pStyle w:val="5"/>
        <w:jc w:val="center"/>
        <w:rPr>
          <w:rFonts w:ascii="仿宋_GB2312" w:hAnsi="仿宋_GB2312" w:eastAsia="仿宋_GB2312" w:cs="仿宋_GB2312"/>
          <w:b/>
          <w:bCs/>
          <w:sz w:val="32"/>
          <w:szCs w:val="32"/>
        </w:rPr>
      </w:pPr>
      <w:bookmarkStart w:id="170" w:name="_Toc18122"/>
      <w:bookmarkStart w:id="171" w:name="_Toc14109"/>
      <w:bookmarkStart w:id="172" w:name="_Toc31175"/>
      <w:r>
        <w:rPr>
          <w:rFonts w:hint="eastAsia" w:ascii="仿宋_GB2312" w:hAnsi="仿宋_GB2312" w:eastAsia="仿宋_GB2312" w:cs="仿宋_GB2312"/>
          <w:b/>
          <w:bCs/>
          <w:sz w:val="32"/>
          <w:szCs w:val="32"/>
        </w:rPr>
        <w:t>第一节   优化提升商贸服务业</w:t>
      </w:r>
      <w:bookmarkEnd w:id="170"/>
      <w:bookmarkEnd w:id="171"/>
      <w:bookmarkEnd w:id="172"/>
    </w:p>
    <w:p>
      <w:pPr>
        <w:keepNext w:val="0"/>
        <w:keepLines w:val="0"/>
        <w:pageBreakBefore w:val="0"/>
        <w:widowControl w:val="0"/>
        <w:kinsoku/>
        <w:wordWrap/>
        <w:overflowPunct/>
        <w:topLinePunct w:val="0"/>
        <w:autoSpaceDE/>
        <w:autoSpaceDN/>
        <w:bidi w:val="0"/>
        <w:adjustRightInd/>
        <w:snapToGrid/>
        <w:spacing w:line="55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加快提升商贸市场。</w:t>
      </w:r>
      <w:r>
        <w:rPr>
          <w:rFonts w:hint="eastAsia" w:ascii="仿宋_GB2312" w:hAnsi="仿宋_GB2312" w:eastAsia="仿宋_GB2312" w:cs="仿宋_GB2312"/>
        </w:rPr>
        <w:t>以习水五洲国际商贸城建设项目为龙头，加快我县农商旅互联综合体、汽车贸易市场、农产品交易市场、黔北商贸中心、红星美凯龙家具市场、文化综合体市场、民化建材市场等专业市场建设。进一步优化改造杉王综合农贸市场，对新华佳和市场进行选址搬迁。将我县打造成为黔北、渝西、川南商贸物流中心。</w:t>
      </w:r>
    </w:p>
    <w:p>
      <w:pPr>
        <w:keepNext w:val="0"/>
        <w:keepLines w:val="0"/>
        <w:pageBreakBefore w:val="0"/>
        <w:widowControl w:val="0"/>
        <w:kinsoku/>
        <w:wordWrap/>
        <w:overflowPunct/>
        <w:topLinePunct w:val="0"/>
        <w:autoSpaceDE/>
        <w:autoSpaceDN/>
        <w:bidi w:val="0"/>
        <w:adjustRightInd/>
        <w:snapToGrid/>
        <w:spacing w:line="55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做强中心城区商圈。</w:t>
      </w:r>
      <w:r>
        <w:rPr>
          <w:rFonts w:hint="eastAsia" w:ascii="仿宋_GB2312" w:hAnsi="仿宋_GB2312" w:eastAsia="仿宋_GB2312" w:cs="仿宋_GB2312"/>
        </w:rPr>
        <w:t>加快习水希望城时代广场、仁安天地购物中心、府东路府西路商圈、赤水西路商业街、井冈东路商业街、红军街商业街等中心城区重点商圈和特色商业街发展，引导企业集聚发展直销连锁网点、大型购物中心、知名品牌旗舰店、体验式购物中心等业态，着力培育一批特色消费节庆品牌活动。</w:t>
      </w:r>
    </w:p>
    <w:p>
      <w:pPr>
        <w:keepNext w:val="0"/>
        <w:keepLines w:val="0"/>
        <w:pageBreakBefore w:val="0"/>
        <w:widowControl w:val="0"/>
        <w:kinsoku/>
        <w:wordWrap/>
        <w:overflowPunct/>
        <w:topLinePunct w:val="0"/>
        <w:autoSpaceDE/>
        <w:autoSpaceDN/>
        <w:bidi w:val="0"/>
        <w:adjustRightInd/>
        <w:snapToGrid/>
        <w:spacing w:line="55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促进乡镇商贸发展。</w:t>
      </w:r>
      <w:r>
        <w:rPr>
          <w:rFonts w:hint="eastAsia" w:ascii="仿宋_GB2312" w:hAnsi="仿宋_GB2312" w:eastAsia="仿宋_GB2312" w:cs="仿宋_GB2312"/>
        </w:rPr>
        <w:t>统筹城乡商业发展，因地制宜做好乡镇商业服务业规划，合理安排商业网点布局。推进城乡商业连锁网络建设。加快推进坭坝、寨坝农贸市场和二郎镇农产品交易中心建设。</w:t>
      </w:r>
    </w:p>
    <w:p>
      <w:pPr>
        <w:keepNext w:val="0"/>
        <w:keepLines w:val="0"/>
        <w:pageBreakBefore w:val="0"/>
        <w:widowControl w:val="0"/>
        <w:kinsoku/>
        <w:wordWrap/>
        <w:overflowPunct/>
        <w:topLinePunct w:val="0"/>
        <w:autoSpaceDE/>
        <w:autoSpaceDN/>
        <w:bidi w:val="0"/>
        <w:adjustRightInd/>
        <w:snapToGrid/>
        <w:spacing w:line="55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积极发展电子商务。</w:t>
      </w:r>
      <w:r>
        <w:rPr>
          <w:rFonts w:hint="eastAsia" w:ascii="仿宋_GB2312" w:hAnsi="仿宋_GB2312" w:eastAsia="仿宋_GB2312" w:cs="仿宋_GB2312"/>
        </w:rPr>
        <w:t>按照打造全国县域电子商务生态标杆县的要求，引导我县企业产品进入电商平台，拓展企业营销渠道，促进实体购销渠道和网络购销渠道互动发展，加快建成集电子交易、电子认证、在线支付、信用评估为一体的第三方电子商务综合服务平台。</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专栏15：商贸服务业项目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加油站空白乡镇补点项目、习水县城南顺达加油充电站建设项目、习水县寨坝镇森林酒店建设项目、习水县土城古镇景区酒店群建设项目、习水县县城农贸市场升级改造工程、习水县汽车交易中心建设项目、习水县仙源镇商业步行街建设项目。</w:t>
            </w:r>
          </w:p>
        </w:tc>
      </w:tr>
    </w:tbl>
    <w:p>
      <w:pPr>
        <w:pStyle w:val="5"/>
        <w:jc w:val="center"/>
        <w:rPr>
          <w:rFonts w:ascii="仿宋_GB2312" w:hAnsi="仿宋_GB2312" w:eastAsia="仿宋_GB2312" w:cs="仿宋_GB2312"/>
          <w:b/>
          <w:bCs/>
          <w:sz w:val="32"/>
          <w:szCs w:val="32"/>
        </w:rPr>
      </w:pPr>
      <w:bookmarkStart w:id="173" w:name="_Toc4385"/>
      <w:bookmarkStart w:id="174" w:name="_Toc3615"/>
      <w:bookmarkStart w:id="175" w:name="_Toc25710"/>
      <w:r>
        <w:rPr>
          <w:rFonts w:hint="eastAsia" w:ascii="仿宋_GB2312" w:hAnsi="仿宋_GB2312" w:eastAsia="仿宋_GB2312" w:cs="仿宋_GB2312"/>
          <w:b/>
          <w:bCs/>
          <w:sz w:val="32"/>
          <w:szCs w:val="32"/>
        </w:rPr>
        <w:t>第二节   积极发展现代物流业</w:t>
      </w:r>
      <w:bookmarkEnd w:id="173"/>
      <w:bookmarkEnd w:id="174"/>
      <w:bookmarkEnd w:id="175"/>
    </w:p>
    <w:p>
      <w:pPr>
        <w:keepNext w:val="0"/>
        <w:keepLines w:val="0"/>
        <w:pageBreakBefore w:val="0"/>
        <w:widowControl w:val="0"/>
        <w:kinsoku/>
        <w:wordWrap/>
        <w:overflowPunct/>
        <w:topLinePunct w:val="0"/>
        <w:autoSpaceDE/>
        <w:autoSpaceDN/>
        <w:bidi w:val="0"/>
        <w:snapToGrid/>
        <w:spacing w:line="550" w:lineRule="exact"/>
        <w:ind w:firstLine="562"/>
        <w:rPr>
          <w:rFonts w:ascii="仿宋_GB2312" w:hAnsi="仿宋_GB2312" w:eastAsia="仿宋_GB2312" w:cs="仿宋_GB2312"/>
        </w:rPr>
      </w:pPr>
      <w:r>
        <w:rPr>
          <w:rFonts w:hint="eastAsia" w:ascii="仿宋_GB2312" w:hAnsi="仿宋_GB2312" w:eastAsia="仿宋_GB2312" w:cs="仿宋_GB2312"/>
          <w:b/>
          <w:bCs/>
        </w:rPr>
        <w:t>推进物流网络发展。</w:t>
      </w:r>
      <w:r>
        <w:rPr>
          <w:rFonts w:hint="eastAsia" w:ascii="仿宋_GB2312" w:hAnsi="仿宋_GB2312" w:eastAsia="仿宋_GB2312" w:cs="仿宋_GB2312"/>
        </w:rPr>
        <w:t>依托泸遵高铁建设，推动公铁联运、空陆联运，探索多式联运全程组织服务模式创新。以东皇物流园区、温水物流园区、二郎物流园区、习酒物流配送中心和即将建设的马临白酒仓储物流中心、二郎高速公路下道口农产品交易中心、习水综合物流园区项目为载体，打造集仓储物流、专线快运、航空货运、分拣配送为一体的区域性综合物流枢纽。推动现有传统物流企业升级改造，大力引进国内外知名物流企业，加快培育冷链物流企业，尽快组建物流配送联盟。大力发展集仓储、运输、配送、报关、保险等功能于一体的第三方物流。</w:t>
      </w:r>
    </w:p>
    <w:p>
      <w:pPr>
        <w:keepNext w:val="0"/>
        <w:keepLines w:val="0"/>
        <w:pageBreakBefore w:val="0"/>
        <w:widowControl w:val="0"/>
        <w:kinsoku/>
        <w:wordWrap/>
        <w:overflowPunct/>
        <w:topLinePunct w:val="0"/>
        <w:autoSpaceDE/>
        <w:autoSpaceDN/>
        <w:bidi w:val="0"/>
        <w:snapToGrid/>
        <w:spacing w:line="550" w:lineRule="exact"/>
        <w:ind w:firstLine="562"/>
        <w:rPr>
          <w:rFonts w:ascii="仿宋_GB2312" w:hAnsi="仿宋_GB2312" w:eastAsia="仿宋_GB2312" w:cs="仿宋_GB2312"/>
        </w:rPr>
      </w:pPr>
      <w:r>
        <w:rPr>
          <w:rFonts w:hint="eastAsia" w:ascii="仿宋_GB2312" w:hAnsi="仿宋_GB2312" w:eastAsia="仿宋_GB2312" w:cs="仿宋_GB2312"/>
          <w:b/>
          <w:bCs/>
        </w:rPr>
        <w:t>建设智慧物流体系。</w:t>
      </w:r>
      <w:r>
        <w:rPr>
          <w:rFonts w:hint="eastAsia" w:ascii="仿宋_GB2312" w:hAnsi="仿宋_GB2312" w:eastAsia="仿宋_GB2312" w:cs="仿宋_GB2312"/>
        </w:rPr>
        <w:t>促进物流智能化，加快建设“互联网+高效物流”协同服务体系，构建与新一代信息技术融合互动的物流运营模式。支持、鼓励物流企业采用货物跟踪定位、无线射频识别、电子数据交换、供应链管理等关键技术，推广使用标准化、厢式化、专业化公路货运车辆。鼓励习酒公司、茅台201厂、二郎电厂及其他有条件的制造业企业开展物流智能化改造，推广应用物流机器人、智能仓储、自动分拣等新型物流技术装备，提高生产物流自动化、智能化水平。</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专栏16：物流产业</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农副产品配送中心建设项目、习水县土城镇红花仓储物流园区建设项目、习水县铭德仓储有限公司仓储建设项目、习水县鑫晟仓储物流园建设项目、习水县区域性农产品产地仓储冷链物流设施建设项目、习水县杉王街道木楠村仓储物流中心建设项目、习水县山里郎农特产品加工仓储中心、习水县寨坝镇物流产业园区项目。</w:t>
            </w:r>
          </w:p>
        </w:tc>
      </w:tr>
    </w:tbl>
    <w:p>
      <w:pPr>
        <w:pStyle w:val="5"/>
        <w:jc w:val="center"/>
        <w:rPr>
          <w:rFonts w:ascii="仿宋_GB2312" w:hAnsi="仿宋_GB2312" w:eastAsia="仿宋_GB2312" w:cs="仿宋_GB2312"/>
          <w:b/>
          <w:bCs/>
          <w:sz w:val="32"/>
          <w:szCs w:val="32"/>
        </w:rPr>
      </w:pPr>
      <w:bookmarkStart w:id="176" w:name="_Toc13039"/>
      <w:bookmarkStart w:id="177" w:name="_Toc22305"/>
      <w:bookmarkStart w:id="178" w:name="_Toc20235"/>
      <w:r>
        <w:rPr>
          <w:rFonts w:hint="eastAsia" w:ascii="仿宋_GB2312" w:hAnsi="仿宋_GB2312" w:eastAsia="仿宋_GB2312" w:cs="仿宋_GB2312"/>
          <w:b/>
          <w:bCs/>
          <w:sz w:val="32"/>
          <w:szCs w:val="32"/>
        </w:rPr>
        <w:t>第三节   着力发展其他服务业</w:t>
      </w:r>
      <w:bookmarkEnd w:id="176"/>
      <w:bookmarkEnd w:id="177"/>
      <w:bookmarkEnd w:id="178"/>
    </w:p>
    <w:p>
      <w:pPr>
        <w:keepNext w:val="0"/>
        <w:keepLines w:val="0"/>
        <w:pageBreakBefore w:val="0"/>
        <w:widowControl w:val="0"/>
        <w:kinsoku/>
        <w:wordWrap/>
        <w:overflowPunct/>
        <w:topLinePunct w:val="0"/>
        <w:autoSpaceDE/>
        <w:autoSpaceDN/>
        <w:bidi w:val="0"/>
        <w:snapToGrid/>
        <w:spacing w:line="550" w:lineRule="exact"/>
        <w:ind w:firstLine="562"/>
        <w:rPr>
          <w:rFonts w:ascii="仿宋_GB2312" w:hAnsi="仿宋_GB2312" w:eastAsia="仿宋_GB2312" w:cs="仿宋_GB2312"/>
        </w:rPr>
      </w:pPr>
      <w:r>
        <w:rPr>
          <w:rFonts w:hint="eastAsia" w:ascii="仿宋_GB2312" w:hAnsi="仿宋_GB2312" w:eastAsia="仿宋_GB2312" w:cs="仿宋_GB2312"/>
          <w:b/>
          <w:bCs/>
        </w:rPr>
        <w:t>大力发展金融服务业。</w:t>
      </w:r>
      <w:r>
        <w:rPr>
          <w:rFonts w:hint="eastAsia" w:ascii="仿宋_GB2312" w:hAnsi="仿宋_GB2312" w:eastAsia="仿宋_GB2312" w:cs="仿宋_GB2312"/>
        </w:rPr>
        <w:t>拓宽企业融资渠道。加快产业投资基金、风险投资、信托等金融平台建设。鼓励本县优质企业通过资本市场融资，支持有条件的企业进行境外融资。扩大企业债、公司债及其他债券融资规模。增强旅投、交投、城投和工投等县属国有企业平台经营和资本运作能力，构建多元化的投融资体系。鼓励和引导社会资本投资城市基础设施、市政公用设施、社会民生事业等领域。设立农业信贷担保公司，为农业项目提供政策性担保贷款。</w:t>
      </w:r>
    </w:p>
    <w:p>
      <w:pPr>
        <w:keepNext w:val="0"/>
        <w:keepLines w:val="0"/>
        <w:pageBreakBefore w:val="0"/>
        <w:widowControl w:val="0"/>
        <w:kinsoku/>
        <w:wordWrap/>
        <w:overflowPunct/>
        <w:topLinePunct w:val="0"/>
        <w:autoSpaceDE/>
        <w:autoSpaceDN/>
        <w:bidi w:val="0"/>
        <w:snapToGrid/>
        <w:spacing w:line="550" w:lineRule="exact"/>
        <w:ind w:firstLine="562"/>
        <w:rPr>
          <w:rFonts w:hint="eastAsia" w:ascii="仿宋_GB2312" w:hAnsi="仿宋_GB2312" w:eastAsia="仿宋_GB2312" w:cs="仿宋_GB2312"/>
        </w:rPr>
      </w:pPr>
      <w:r>
        <w:rPr>
          <w:rFonts w:hint="eastAsia" w:ascii="仿宋_GB2312" w:hAnsi="仿宋_GB2312" w:eastAsia="仿宋_GB2312" w:cs="仿宋_GB2312"/>
          <w:b/>
          <w:bCs/>
        </w:rPr>
        <w:t>积极推进其他服务业。</w:t>
      </w:r>
      <w:r>
        <w:rPr>
          <w:rFonts w:hint="eastAsia" w:ascii="仿宋_GB2312" w:hAnsi="仿宋_GB2312" w:eastAsia="仿宋_GB2312" w:cs="仿宋_GB2312"/>
        </w:rPr>
        <w:t>立足我县发展定位，积极发展酒类职业培训、社区服务、中介服务、节能环保和其他现代服务业发展，不断提升我县服务业档次和水平，满足全县人民生产、生活需求。</w:t>
      </w:r>
      <w:bookmarkEnd w:id="16"/>
    </w:p>
    <w:p>
      <w:pPr>
        <w:pStyle w:val="18"/>
        <w:keepNext w:val="0"/>
        <w:keepLines w:val="0"/>
        <w:pageBreakBefore w:val="0"/>
        <w:widowControl w:val="0"/>
        <w:kinsoku/>
        <w:wordWrap/>
        <w:overflowPunct/>
        <w:topLinePunct w:val="0"/>
        <w:autoSpaceDE/>
        <w:autoSpaceDN/>
        <w:bidi w:val="0"/>
        <w:snapToGrid/>
        <w:spacing w:line="550" w:lineRule="exact"/>
      </w:pP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179" w:name="_Toc16472"/>
      <w:bookmarkStart w:id="180" w:name="_Toc19728"/>
      <w:bookmarkStart w:id="181" w:name="_Toc16623"/>
      <w:r>
        <w:rPr>
          <w:rFonts w:hint="eastAsia" w:ascii="方正小标宋简体" w:hAnsi="方正小标宋简体" w:eastAsia="方正小标宋简体" w:cs="方正小标宋简体"/>
          <w:b w:val="0"/>
          <w:bCs/>
          <w:sz w:val="32"/>
          <w:szCs w:val="32"/>
        </w:rPr>
        <w:t>第八章    坚持智能高效，着力打造“智慧习水”</w:t>
      </w:r>
      <w:bookmarkEnd w:id="179"/>
      <w:bookmarkEnd w:id="180"/>
      <w:bookmarkEnd w:id="181"/>
    </w:p>
    <w:p>
      <w:pPr>
        <w:ind w:firstLine="560"/>
        <w:rPr>
          <w:rFonts w:ascii="仿宋_GB2312" w:hAnsi="仿宋_GB2312" w:eastAsia="仿宋_GB2312" w:cs="仿宋_GB2312"/>
        </w:rPr>
      </w:pPr>
      <w:r>
        <w:rPr>
          <w:rFonts w:hint="eastAsia" w:ascii="仿宋_GB2312" w:hAnsi="仿宋_GB2312" w:eastAsia="仿宋_GB2312" w:cs="仿宋_GB2312"/>
        </w:rPr>
        <w:t>抢抓新一轮科技革命和产业变革的发展机遇，全面推进以5G、大数据、人工智能等为代表的新基建在产业发展、民生建设、政府服务等领域的资源共享和深度应用，促进全县经济发展转型升级，着力打造“智慧习水”。</w:t>
      </w:r>
    </w:p>
    <w:p>
      <w:pPr>
        <w:pStyle w:val="5"/>
        <w:jc w:val="center"/>
        <w:rPr>
          <w:rFonts w:ascii="仿宋_GB2312" w:hAnsi="仿宋_GB2312" w:eastAsia="仿宋_GB2312" w:cs="仿宋_GB2312"/>
          <w:b/>
          <w:bCs/>
          <w:sz w:val="32"/>
          <w:szCs w:val="32"/>
        </w:rPr>
      </w:pPr>
      <w:bookmarkStart w:id="182" w:name="_Toc32386"/>
      <w:bookmarkStart w:id="183" w:name="_Toc28725"/>
      <w:bookmarkStart w:id="184" w:name="_Toc14831"/>
      <w:r>
        <w:rPr>
          <w:rFonts w:hint="eastAsia" w:ascii="仿宋_GB2312" w:hAnsi="仿宋_GB2312" w:eastAsia="仿宋_GB2312" w:cs="仿宋_GB2312"/>
          <w:b/>
          <w:bCs/>
          <w:sz w:val="32"/>
          <w:szCs w:val="32"/>
        </w:rPr>
        <w:t>第一节   促进大数据+工业深度融合</w:t>
      </w:r>
      <w:bookmarkEnd w:id="182"/>
      <w:bookmarkEnd w:id="183"/>
      <w:bookmarkEnd w:id="184"/>
    </w:p>
    <w:p>
      <w:pPr>
        <w:ind w:firstLine="562"/>
        <w:rPr>
          <w:rFonts w:ascii="仿宋_GB2312" w:hAnsi="仿宋_GB2312" w:eastAsia="仿宋_GB2312" w:cs="仿宋_GB2312"/>
        </w:rPr>
      </w:pPr>
      <w:r>
        <w:rPr>
          <w:rFonts w:hint="eastAsia" w:ascii="仿宋_GB2312" w:hAnsi="仿宋_GB2312" w:eastAsia="仿宋_GB2312" w:cs="仿宋_GB2312"/>
          <w:b/>
          <w:bCs/>
        </w:rPr>
        <w:t>推动白酒工业向智能化发展。</w:t>
      </w:r>
      <w:r>
        <w:rPr>
          <w:rFonts w:hint="eastAsia" w:ascii="仿宋_GB2312" w:hAnsi="仿宋_GB2312" w:eastAsia="仿宋_GB2312" w:cs="仿宋_GB2312"/>
        </w:rPr>
        <w:t>紧抓5G、人工智能、物联网、区块链等新一代信息技术高速发展的重大机遇，深入实施大数据+工业深度融合，鼓励茅台、习酒等大型酒企应用新一代信息技术建设“智能工厂”“智能车间”。以“千企改造”工程和两化融合为重点，通过开展“互联网+”行动，促进中小酒企应用信息网络技术，实施智能化改造，参与“智能工厂”和“智能车间”创建。</w:t>
      </w:r>
    </w:p>
    <w:p>
      <w:pPr>
        <w:ind w:firstLine="562"/>
        <w:rPr>
          <w:rFonts w:ascii="仿宋_GB2312" w:hAnsi="仿宋_GB2312" w:eastAsia="仿宋_GB2312" w:cs="仿宋_GB2312"/>
        </w:rPr>
      </w:pPr>
      <w:r>
        <w:rPr>
          <w:rFonts w:hint="eastAsia" w:ascii="仿宋_GB2312" w:hAnsi="仿宋_GB2312" w:eastAsia="仿宋_GB2312" w:cs="仿宋_GB2312"/>
          <w:b/>
          <w:bCs/>
        </w:rPr>
        <w:t>推动其他工业向智能化转变。</w:t>
      </w:r>
      <w:r>
        <w:rPr>
          <w:rFonts w:hint="eastAsia" w:ascii="仿宋_GB2312" w:hAnsi="仿宋_GB2312" w:eastAsia="仿宋_GB2312" w:cs="仿宋_GB2312"/>
        </w:rPr>
        <w:t>推动传统制造企业实施智能化改造，提高生产、制造、服务、管理等全过程智能化水平。加快煤炭、电力、建材、食品加工等行业生产设备智能化改造，推动生产方式向柔性、智能、精细化转变。</w:t>
      </w:r>
    </w:p>
    <w:p>
      <w:pPr>
        <w:pStyle w:val="5"/>
        <w:jc w:val="center"/>
        <w:rPr>
          <w:rFonts w:ascii="仿宋_GB2312" w:hAnsi="仿宋_GB2312" w:eastAsia="仿宋_GB2312" w:cs="仿宋_GB2312"/>
          <w:b/>
          <w:bCs/>
          <w:sz w:val="32"/>
          <w:szCs w:val="32"/>
        </w:rPr>
      </w:pPr>
      <w:bookmarkStart w:id="185" w:name="_Toc7424"/>
      <w:bookmarkStart w:id="186" w:name="_Toc5190"/>
      <w:bookmarkStart w:id="187" w:name="_Toc10945"/>
      <w:r>
        <w:rPr>
          <w:rFonts w:hint="eastAsia" w:ascii="仿宋_GB2312" w:hAnsi="仿宋_GB2312" w:eastAsia="仿宋_GB2312" w:cs="仿宋_GB2312"/>
          <w:b/>
          <w:bCs/>
          <w:sz w:val="32"/>
          <w:szCs w:val="32"/>
        </w:rPr>
        <w:t>第二节   积极发展制造新模式</w:t>
      </w:r>
      <w:bookmarkEnd w:id="185"/>
      <w:bookmarkEnd w:id="186"/>
      <w:bookmarkEnd w:id="187"/>
    </w:p>
    <w:p>
      <w:pPr>
        <w:ind w:firstLine="562"/>
        <w:rPr>
          <w:rFonts w:ascii="仿宋_GB2312" w:hAnsi="仿宋_GB2312" w:eastAsia="仿宋_GB2312" w:cs="仿宋_GB2312"/>
        </w:rPr>
      </w:pPr>
      <w:r>
        <w:rPr>
          <w:rFonts w:hint="eastAsia" w:ascii="仿宋_GB2312" w:hAnsi="仿宋_GB2312" w:eastAsia="仿宋_GB2312" w:cs="仿宋_GB2312"/>
          <w:b/>
          <w:bCs/>
        </w:rPr>
        <w:t>推进网络协同化制造新模式。</w:t>
      </w:r>
      <w:r>
        <w:rPr>
          <w:rFonts w:hint="eastAsia" w:ascii="仿宋_GB2312" w:hAnsi="仿宋_GB2312" w:eastAsia="仿宋_GB2312" w:cs="仿宋_GB2312"/>
        </w:rPr>
        <w:t>大力推进云制造、网络协同制造等新模式，加快习水工业云、“企业云”等公共服务平台建设，实现工业互联网进企业、入车间、联设备、拓市场。强化工业互联网基础设施建设，加快经开区、产业基地、产业园和创业孵化基地光纤网、移动通信网和无线局域网等网络基础设施建设，构建面向智能制造单元、智能化工厂，低延时、高可靠、广覆盖的工业互联网。推进工业园区开展“智慧园区”建设，推广使用自动化成套设备或自动化成套控制系统，实施“设备换芯”“生产换线”行动，打造园区综合服务信息平台。建立面向工业领域的信息安全技术支撑体系、产品检测、检查评估综合保障体系，提升工业信息安全保障能力。</w:t>
      </w:r>
    </w:p>
    <w:p>
      <w:pPr>
        <w:ind w:firstLine="562"/>
        <w:rPr>
          <w:rFonts w:ascii="仿宋_GB2312" w:hAnsi="仿宋_GB2312" w:eastAsia="仿宋_GB2312" w:cs="仿宋_GB2312"/>
        </w:rPr>
      </w:pPr>
      <w:r>
        <w:rPr>
          <w:rFonts w:hint="eastAsia" w:ascii="仿宋_GB2312" w:hAnsi="仿宋_GB2312" w:eastAsia="仿宋_GB2312" w:cs="仿宋_GB2312"/>
          <w:b/>
          <w:bCs/>
        </w:rPr>
        <w:t>培育发展服务型制造。</w:t>
      </w:r>
      <w:r>
        <w:rPr>
          <w:rFonts w:hint="eastAsia" w:ascii="仿宋_GB2312" w:hAnsi="仿宋_GB2312" w:eastAsia="仿宋_GB2312" w:cs="仿宋_GB2312"/>
        </w:rPr>
        <w:t>推进智能制造与生产性服务业融合发展，促进产业链向研发设计、营销服务等价值链两端延伸，实现从传统生产制造向“制造+服务”转型升级。鼓励白酒、电子信息、特色医药等行业利用区块链、云计算、大数据、AI开展产品追溯、供应链管理、智能产品全生命周期管理。建设习水防灾减灾综合联动支撑平台，依托大数据，构建以应急管理局牵头，气象、自然资源、水务、林业等多部门信息整合、集成指挥的自然灾害监测预警综合应急指挥体系。</w:t>
      </w:r>
    </w:p>
    <w:p>
      <w:pPr>
        <w:pStyle w:val="5"/>
        <w:jc w:val="center"/>
        <w:rPr>
          <w:rFonts w:ascii="仿宋_GB2312" w:hAnsi="仿宋_GB2312" w:eastAsia="仿宋_GB2312" w:cs="仿宋_GB2312"/>
          <w:b/>
          <w:bCs/>
          <w:sz w:val="32"/>
          <w:szCs w:val="32"/>
        </w:rPr>
      </w:pPr>
      <w:bookmarkStart w:id="188" w:name="_Toc9325"/>
      <w:bookmarkStart w:id="189" w:name="_Toc3808"/>
      <w:bookmarkStart w:id="190" w:name="_Toc14004"/>
      <w:r>
        <w:rPr>
          <w:rFonts w:hint="eastAsia" w:ascii="仿宋_GB2312" w:hAnsi="仿宋_GB2312" w:eastAsia="仿宋_GB2312" w:cs="仿宋_GB2312"/>
          <w:b/>
          <w:bCs/>
          <w:sz w:val="32"/>
          <w:szCs w:val="32"/>
        </w:rPr>
        <w:t>第三节   推进智慧城市建设</w:t>
      </w:r>
      <w:bookmarkEnd w:id="188"/>
      <w:bookmarkEnd w:id="189"/>
      <w:bookmarkEnd w:id="190"/>
    </w:p>
    <w:p>
      <w:pPr>
        <w:ind w:firstLine="562"/>
        <w:rPr>
          <w:rFonts w:ascii="仿宋_GB2312" w:hAnsi="仿宋_GB2312" w:eastAsia="仿宋_GB2312" w:cs="仿宋_GB2312"/>
        </w:rPr>
      </w:pPr>
      <w:r>
        <w:rPr>
          <w:rFonts w:hint="eastAsia" w:ascii="仿宋_GB2312" w:hAnsi="仿宋_GB2312" w:eastAsia="仿宋_GB2312" w:cs="仿宋_GB2312"/>
          <w:b/>
          <w:bCs/>
        </w:rPr>
        <w:t>以大数据推动产业转型升级。</w:t>
      </w:r>
      <w:r>
        <w:rPr>
          <w:rFonts w:hint="eastAsia" w:ascii="仿宋_GB2312" w:hAnsi="仿宋_GB2312" w:eastAsia="仿宋_GB2312" w:cs="仿宋_GB2312"/>
        </w:rPr>
        <w:t>深入实施大数据主体培育工程，激发各类创新主体活力。大力引进一批软件服务和信息技术企业、大数据应用服务企业，提升信息技术服务能力；建立高新技术企业培育库，大力支持企业增强自主创新能力，努力培育一批“创新型领军企业”“骨干型高新技术企业”“科技小巨人企业”；以大数据为支撑，助推全县产业转型升级。</w:t>
      </w:r>
    </w:p>
    <w:p>
      <w:pPr>
        <w:ind w:firstLine="562"/>
        <w:rPr>
          <w:rFonts w:ascii="仿宋_GB2312" w:hAnsi="仿宋_GB2312" w:eastAsia="仿宋_GB2312" w:cs="仿宋_GB2312"/>
        </w:rPr>
      </w:pPr>
      <w:r>
        <w:rPr>
          <w:rFonts w:hint="eastAsia" w:ascii="仿宋_GB2312" w:hAnsi="仿宋_GB2312" w:eastAsia="仿宋_GB2312" w:cs="仿宋_GB2312"/>
          <w:b/>
          <w:bCs/>
        </w:rPr>
        <w:t>打造智能化信息基础设施体系。</w:t>
      </w:r>
      <w:r>
        <w:rPr>
          <w:rFonts w:hint="eastAsia" w:ascii="仿宋_GB2312" w:hAnsi="仿宋_GB2312" w:eastAsia="仿宋_GB2312" w:cs="仿宋_GB2312"/>
        </w:rPr>
        <w:t>实施智能物流、智能交通、智能医疗服务等“智能+”工程，培育人工智能创新产品和服务，加强人工智能在教育、医疗卫生、养老、助残、交通、生态等领域的应用；加强关键设施网络安全防护，构建人工智能领域的自主可控信息、智能安防、大数据、先进通信、智能网联车、工业机器人、智能终端等产业链，严格落实防护责任，加快推进我县智慧城市建设。</w:t>
      </w:r>
    </w:p>
    <w:p>
      <w:pPr>
        <w:spacing w:before="156" w:beforeLines="50" w:after="156" w:afterLines="50"/>
        <w:ind w:firstLine="0" w:firstLineChars="0"/>
        <w:jc w:val="center"/>
        <w:rPr>
          <w:rFonts w:hint="eastAsia" w:ascii="楷体_GB2312" w:hAnsi="楷体_GB2312" w:eastAsia="楷体_GB2312" w:cs="楷体_GB2312"/>
          <w:b/>
          <w:bCs/>
        </w:rPr>
      </w:pP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专栏17：习水县智慧城市建设项目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智慧城市建设项目、习水县县城智慧水务、乡镇供水信息化系统建设工程、习水县智能养殖系统（溯源追踪体系、病害智能监测系统等）建设项目、习水县智慧水务建设项目、习水县智慧养老建设项目、习水县农业环境监测系统建设项目（含水肥一体化、病虫害监测、驱鸟机、视频监控）、习水县集中式饮用水源保护区智能监测系统项目、习水县山洪灾害预警系统建设工程、习水县水库安全及水库水电水雨情自动预测预警监测系统建设、习水县5G智慧城市建设项目、习水县寨坝镇两路社区管理服务智能化项目。</w:t>
            </w:r>
          </w:p>
        </w:tc>
      </w:tr>
    </w:tbl>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191" w:name="_Toc25091"/>
      <w:bookmarkStart w:id="192" w:name="_Toc9553"/>
      <w:bookmarkStart w:id="193" w:name="_Toc13108"/>
      <w:r>
        <w:rPr>
          <w:rFonts w:hint="eastAsia" w:ascii="方正小标宋简体" w:hAnsi="方正小标宋简体" w:eastAsia="方正小标宋简体" w:cs="方正小标宋简体"/>
          <w:b w:val="0"/>
          <w:bCs/>
          <w:sz w:val="32"/>
          <w:szCs w:val="32"/>
        </w:rPr>
        <w:t>第九章    深化建设“文明习水”，不断提升对外形象</w:t>
      </w:r>
      <w:bookmarkEnd w:id="191"/>
      <w:bookmarkEnd w:id="192"/>
      <w:bookmarkEnd w:id="193"/>
    </w:p>
    <w:p>
      <w:pPr>
        <w:ind w:firstLine="560"/>
        <w:rPr>
          <w:rFonts w:ascii="仿宋_GB2312" w:hAnsi="仿宋_GB2312" w:eastAsia="仿宋_GB2312" w:cs="仿宋_GB2312"/>
          <w:spacing w:val="-6"/>
        </w:rPr>
      </w:pPr>
      <w:r>
        <w:rPr>
          <w:rFonts w:hint="eastAsia" w:ascii="仿宋_GB2312" w:hAnsi="仿宋_GB2312" w:eastAsia="仿宋_GB2312" w:cs="仿宋_GB2312"/>
        </w:rPr>
        <w:t>坚持马克思主义在意识形态领域的主导地位，围绕举旗帜、育新人、兴文化、展形象的使命任务，坚持传承红色基因，促进精神文明</w:t>
      </w:r>
      <w:r>
        <w:rPr>
          <w:rFonts w:hint="eastAsia" w:ascii="仿宋_GB2312" w:hAnsi="仿宋_GB2312" w:eastAsia="仿宋_GB2312" w:cs="仿宋_GB2312"/>
          <w:spacing w:val="-6"/>
        </w:rPr>
        <w:t>与物质文明协调发展,不断提高习水发展软实力，深化建设“文明习水”。</w:t>
      </w:r>
    </w:p>
    <w:p>
      <w:pPr>
        <w:pStyle w:val="5"/>
        <w:jc w:val="center"/>
        <w:rPr>
          <w:rFonts w:ascii="仿宋_GB2312" w:hAnsi="仿宋_GB2312" w:eastAsia="仿宋_GB2312" w:cs="仿宋_GB2312"/>
          <w:b/>
          <w:bCs/>
          <w:sz w:val="32"/>
          <w:szCs w:val="32"/>
        </w:rPr>
      </w:pPr>
      <w:bookmarkStart w:id="194" w:name="_Toc11468"/>
      <w:bookmarkStart w:id="195" w:name="_Toc24946"/>
      <w:bookmarkStart w:id="196" w:name="_Toc13034"/>
      <w:r>
        <w:rPr>
          <w:rFonts w:hint="eastAsia" w:ascii="仿宋_GB2312" w:hAnsi="仿宋_GB2312" w:eastAsia="仿宋_GB2312" w:cs="仿宋_GB2312"/>
          <w:b/>
          <w:bCs/>
          <w:sz w:val="32"/>
          <w:szCs w:val="32"/>
        </w:rPr>
        <w:t>第一节   广泛传承红色基因</w:t>
      </w:r>
      <w:bookmarkEnd w:id="194"/>
      <w:bookmarkEnd w:id="195"/>
      <w:bookmarkEnd w:id="196"/>
    </w:p>
    <w:p>
      <w:pPr>
        <w:ind w:firstLine="560"/>
        <w:rPr>
          <w:rFonts w:ascii="仿宋_GB2312" w:hAnsi="仿宋_GB2312" w:eastAsia="仿宋_GB2312" w:cs="仿宋_GB2312"/>
        </w:rPr>
      </w:pPr>
      <w:r>
        <w:rPr>
          <w:rFonts w:hint="eastAsia" w:ascii="仿宋_GB2312" w:hAnsi="仿宋_GB2312" w:eastAsia="仿宋_GB2312" w:cs="仿宋_GB2312"/>
        </w:rPr>
        <w:t>抢抓红军长征文化国家公园建设契机，加快提升一批、完善一批、谋划一批项目，全力将土城打造为全国著名的红色文化教育基地。加大对“习水：四渡赤水发轫地、主战场”“习水：长征首提地”“习水青杠坡：祭红首选地”的宣传力度，提升“千年古镇·红色土城”的知名度、美誉度。发挥红色文化引领作用，大力弘扬“四渡赤水”精神，塑造传承红色文化的先进典型,扩大红色基因传播力。支持申报“中国女红军纪念馆”。加强红色文化挖掘和保护，聚力打造以土城为窗口的“红培之都”红色研学品牌。</w:t>
      </w:r>
    </w:p>
    <w:p>
      <w:pPr>
        <w:pStyle w:val="5"/>
        <w:jc w:val="center"/>
        <w:rPr>
          <w:rFonts w:ascii="仿宋_GB2312" w:hAnsi="仿宋_GB2312" w:eastAsia="仿宋_GB2312" w:cs="仿宋_GB2312"/>
          <w:b/>
          <w:bCs/>
          <w:sz w:val="32"/>
          <w:szCs w:val="32"/>
        </w:rPr>
      </w:pPr>
      <w:bookmarkStart w:id="197" w:name="_Toc14371"/>
      <w:bookmarkStart w:id="198" w:name="_Toc30658"/>
      <w:bookmarkStart w:id="199" w:name="_Toc7709"/>
      <w:r>
        <w:rPr>
          <w:rFonts w:hint="eastAsia" w:ascii="仿宋_GB2312" w:hAnsi="仿宋_GB2312" w:eastAsia="仿宋_GB2312" w:cs="仿宋_GB2312"/>
          <w:b/>
          <w:bCs/>
          <w:sz w:val="32"/>
          <w:szCs w:val="32"/>
        </w:rPr>
        <w:t>第二节   提高社会文明程度</w:t>
      </w:r>
      <w:bookmarkEnd w:id="197"/>
      <w:bookmarkEnd w:id="198"/>
      <w:bookmarkEnd w:id="199"/>
    </w:p>
    <w:p>
      <w:pPr>
        <w:ind w:firstLine="560"/>
        <w:rPr>
          <w:rFonts w:ascii="仿宋_GB2312" w:hAnsi="仿宋_GB2312" w:eastAsia="仿宋_GB2312" w:cs="仿宋_GB2312"/>
        </w:rPr>
      </w:pPr>
      <w:r>
        <w:rPr>
          <w:rFonts w:hint="eastAsia" w:ascii="仿宋_GB2312" w:hAnsi="仿宋_GB2312" w:eastAsia="仿宋_GB2312" w:cs="仿宋_GB2312"/>
        </w:rPr>
        <w:t>坚持以社会主义核心价值观为引领，加强社会主义精神文明建设，发挥文化引领风尚、教育人民、服务社会、推动发展的作用。深入开展习近平新时代中国特色社会主义思想学习教育，推动理想信念教育制度化、常态化。全面加强科普工作,提升公民科学素质。深入创建全国文明城市，开展文明单位、文明校园、文明乡镇、文明村居、文明家庭创建活动。大力开展控烟行动。全面推进新时代文明实践中心建设，持续深化志愿服务活动。加强社会主义核心价值观主题公园、文化广场和健康步道建设。提倡绿色出行、文明餐饮，形成社会厉行节约新风尚。深入推进诚信建设。加强家庭、家教、家风建设。加强网络文明建设。</w:t>
      </w:r>
    </w:p>
    <w:p>
      <w:pPr>
        <w:pStyle w:val="5"/>
        <w:jc w:val="center"/>
        <w:rPr>
          <w:rFonts w:ascii="仿宋_GB2312" w:hAnsi="仿宋_GB2312" w:eastAsia="仿宋_GB2312" w:cs="仿宋_GB2312"/>
          <w:b/>
          <w:bCs/>
          <w:sz w:val="32"/>
          <w:szCs w:val="32"/>
        </w:rPr>
      </w:pPr>
      <w:bookmarkStart w:id="200" w:name="_Toc4658"/>
      <w:bookmarkStart w:id="201" w:name="_Toc8354"/>
      <w:bookmarkStart w:id="202" w:name="_Toc13954"/>
      <w:r>
        <w:rPr>
          <w:rFonts w:hint="eastAsia" w:ascii="仿宋_GB2312" w:hAnsi="仿宋_GB2312" w:eastAsia="仿宋_GB2312" w:cs="仿宋_GB2312"/>
          <w:b/>
          <w:bCs/>
          <w:sz w:val="32"/>
          <w:szCs w:val="32"/>
        </w:rPr>
        <w:t>第三节   繁荣文化事业和文化产业</w:t>
      </w:r>
      <w:bookmarkEnd w:id="200"/>
      <w:bookmarkEnd w:id="201"/>
      <w:bookmarkEnd w:id="202"/>
    </w:p>
    <w:p>
      <w:pPr>
        <w:ind w:firstLine="560"/>
        <w:rPr>
          <w:rFonts w:hint="eastAsia" w:ascii="楷体_GB2312" w:hAnsi="楷体_GB2312" w:eastAsia="楷体_GB2312" w:cs="楷体_GB2312"/>
          <w:b/>
          <w:bCs/>
        </w:rPr>
      </w:pPr>
      <w:r>
        <w:rPr>
          <w:rFonts w:hint="eastAsia" w:ascii="仿宋_GB2312" w:hAnsi="仿宋_GB2312" w:eastAsia="仿宋_GB2312" w:cs="仿宋_GB2312"/>
        </w:rPr>
        <w:t>坚持社会效益优先、社会效益与经济效益相统一，深化文化体制改革，加强文化市场建设。完善和实施文艺创作激励机制，培养一批本土文艺人才，围绕新时代主旋律创作一批文艺精品。突破省“五个一”工程，力争全国性重要文艺奖项，全面提升习水文化影响力。培育和引进一批文化企业，丰富文化业态，扩大优质文化产品和文化服务供给。发挥文艺生态与产业经济协同效应，推动鰼部文化、红色文化、酱酒文化与工业、教育、旅游、金融、互联网的深度融合，延伸文化产业链条。推进媒体深度融合，建强用好融媒体中心。健全城乡公共文化服务供给机制，新建一批文化阵地，提高公共文化服务效能。组织开展多形式的文艺活动，丰富基层群众精神文化生活。加强对传统文化、非遗项目挖掘和保护。广泛开展全民健身运动。</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专栏18：“十四五”期间文体类项目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水上运动体育旅游示范基地（桐梓河漂流、杨家园）建设项目、习水县奥体中心建设项目、习水县体育综合馆建设项目、习水县非遗工坊建设项目、习水县乡镇文化广场及景观绿化建设项目、习水县乡镇文化站硬件提升项目、习水县全民健身中心、习水县11人制标准足球场建设项目、习水县工人文化宫建设项目、习水县游泳馆、习水县文昌生态体育公园、习水县长征大观园体验项目、习水县四渡赤水渡口展示与保护项目、习水县淋滩红军地下党支部活动陈列馆改扩建项目、习水县吼滩红军总政治部陈列馆文物保护及陈列提升项目、习水县四渡赤水战役旧址保护修缮、习水县四渡赤水纪念馆改陈布展项目、习水县红军医院纪念馆改陈布展项目、习水县女红军纪念馆改陈布展项目、习水县土城四渡赤水青少年红色研学旅实训营地、习水县中国工农红军游击队陈列馆项目、习水县四渡赤水智慧博物馆建设、习水县红色文化教育基地项目。</w:t>
            </w:r>
          </w:p>
        </w:tc>
      </w:tr>
    </w:tbl>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203" w:name="_Toc27170"/>
      <w:bookmarkStart w:id="204" w:name="_Toc30422"/>
      <w:bookmarkStart w:id="205" w:name="_Toc9643"/>
      <w:bookmarkStart w:id="206" w:name="_Toc2308"/>
      <w:r>
        <w:rPr>
          <w:rFonts w:hint="eastAsia" w:ascii="方正小标宋简体" w:hAnsi="方正小标宋简体" w:eastAsia="方正小标宋简体" w:cs="方正小标宋简体"/>
          <w:b w:val="0"/>
          <w:bCs/>
          <w:sz w:val="32"/>
          <w:szCs w:val="32"/>
        </w:rPr>
        <w:t>第十章    深化建设“开放习水”，全面融入成渝经济圈</w:t>
      </w:r>
      <w:bookmarkEnd w:id="203"/>
      <w:bookmarkEnd w:id="204"/>
      <w:bookmarkEnd w:id="205"/>
      <w:bookmarkEnd w:id="206"/>
    </w:p>
    <w:p>
      <w:pPr>
        <w:pStyle w:val="9"/>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抢抓国家实施新时代西部大开发和贵州建设国家内陆开放型经济试验区机遇，坚持向北挺进，实施更大范围、更宽领域、更深层次对外开放，全面融入成渝双城经济圈，深化建设“开放习水”。</w:t>
      </w:r>
    </w:p>
    <w:p>
      <w:pPr>
        <w:pStyle w:val="5"/>
        <w:jc w:val="center"/>
        <w:rPr>
          <w:rFonts w:ascii="仿宋_GB2312" w:hAnsi="仿宋_GB2312" w:eastAsia="仿宋_GB2312" w:cs="仿宋_GB2312"/>
          <w:b/>
          <w:bCs/>
          <w:sz w:val="32"/>
          <w:szCs w:val="32"/>
        </w:rPr>
      </w:pPr>
      <w:bookmarkStart w:id="207" w:name="_Toc8311"/>
      <w:bookmarkStart w:id="208" w:name="_Toc27090"/>
      <w:bookmarkStart w:id="209" w:name="_Toc26768"/>
      <w:bookmarkStart w:id="210" w:name="_Toc30758"/>
      <w:bookmarkStart w:id="211" w:name="_Toc713"/>
      <w:bookmarkStart w:id="212" w:name="_Toc198"/>
      <w:bookmarkStart w:id="213" w:name="_Toc446667231"/>
      <w:bookmarkStart w:id="214" w:name="_Toc470854872"/>
      <w:r>
        <w:rPr>
          <w:rFonts w:hint="eastAsia" w:ascii="仿宋_GB2312" w:hAnsi="仿宋_GB2312" w:eastAsia="仿宋_GB2312" w:cs="仿宋_GB2312"/>
          <w:b/>
          <w:bCs/>
          <w:sz w:val="32"/>
          <w:szCs w:val="32"/>
        </w:rPr>
        <w:t>第一节   坚持扩大对外开放</w:t>
      </w:r>
      <w:bookmarkEnd w:id="207"/>
      <w:bookmarkEnd w:id="208"/>
      <w:bookmarkEnd w:id="209"/>
      <w:bookmarkEnd w:id="210"/>
      <w:bookmarkEnd w:id="211"/>
      <w:bookmarkEnd w:id="212"/>
      <w:bookmarkEnd w:id="213"/>
      <w:bookmarkEnd w:id="214"/>
    </w:p>
    <w:p>
      <w:pPr>
        <w:ind w:firstLine="560"/>
        <w:rPr>
          <w:rFonts w:ascii="仿宋_GB2312" w:hAnsi="仿宋_GB2312" w:eastAsia="仿宋_GB2312" w:cs="仿宋_GB2312"/>
        </w:rPr>
      </w:pPr>
      <w:r>
        <w:rPr>
          <w:rFonts w:hint="eastAsia" w:ascii="仿宋_GB2312" w:hAnsi="仿宋_GB2312" w:eastAsia="仿宋_GB2312" w:cs="仿宋_GB2312"/>
        </w:rPr>
        <w:t>主动融入“一带一路”、西部大开发、长江经济带、成渝城市群等国家重大发展战略，构建以国内大循环为主体、国内国际双循环相互促进的新发展格局。破除基础设施障碍，优化提升出境通道，大力争取境内机场、铁路建设，与成渝地区实现“铁公机”互联互通，探索通道带物流、物流带经贸、经贸带产业效应，大力发展通道经济，推动通道创造经济价值、提升经济效益。积极承接长江经济带、成渝地区双城经济圈高新技术和相关现代服务业。借助上海对口帮扶优势，加快与长三角、珠三角地区合作。进一步提升与重庆的合作水平，在能源、工业、农业、旅游等合作领域取得突破。加强与仁怀、金沙、古蔺等周边县市及成渝经济圈合作，探索打破行政区划限制，合作共建产业园区，完善企业、项目跨县市开发的利益协调机制。加快制度型开放步伐，以良村、温水等乡镇为重点，探索建立黔渝合作先行示范区，力争建成重庆汽车、装备制造、电子信息产业配套基地。</w:t>
      </w:r>
    </w:p>
    <w:p>
      <w:pPr>
        <w:pStyle w:val="5"/>
        <w:jc w:val="center"/>
        <w:rPr>
          <w:rFonts w:ascii="仿宋_GB2312" w:hAnsi="仿宋_GB2312" w:eastAsia="仿宋_GB2312" w:cs="仿宋_GB2312"/>
          <w:b/>
          <w:bCs/>
          <w:sz w:val="32"/>
          <w:szCs w:val="32"/>
        </w:rPr>
      </w:pPr>
      <w:bookmarkStart w:id="215" w:name="_Toc470854874"/>
      <w:bookmarkStart w:id="216" w:name="_Toc444090330"/>
      <w:bookmarkStart w:id="217" w:name="_Toc15066"/>
      <w:bookmarkStart w:id="218" w:name="_Toc446667233"/>
      <w:bookmarkStart w:id="219" w:name="_Toc29820"/>
      <w:bookmarkStart w:id="220" w:name="_Toc16773"/>
      <w:bookmarkStart w:id="221" w:name="_Toc3673"/>
      <w:bookmarkStart w:id="222" w:name="_Toc1933"/>
      <w:bookmarkStart w:id="223" w:name="_Toc13633"/>
      <w:bookmarkStart w:id="224" w:name="_Toc22968"/>
      <w:r>
        <w:rPr>
          <w:rFonts w:hint="eastAsia" w:ascii="仿宋_GB2312" w:hAnsi="仿宋_GB2312" w:eastAsia="仿宋_GB2312" w:cs="仿宋_GB2312"/>
          <w:b/>
          <w:bCs/>
          <w:sz w:val="32"/>
          <w:szCs w:val="32"/>
        </w:rPr>
        <w:t>第二节   大力提升招商引资质量</w:t>
      </w:r>
      <w:bookmarkEnd w:id="215"/>
      <w:bookmarkEnd w:id="216"/>
      <w:bookmarkEnd w:id="217"/>
      <w:bookmarkEnd w:id="218"/>
      <w:bookmarkEnd w:id="219"/>
      <w:bookmarkEnd w:id="220"/>
      <w:bookmarkEnd w:id="221"/>
      <w:bookmarkEnd w:id="222"/>
      <w:bookmarkEnd w:id="223"/>
      <w:bookmarkEnd w:id="224"/>
    </w:p>
    <w:p>
      <w:pPr>
        <w:ind w:firstLine="560"/>
        <w:rPr>
          <w:rFonts w:ascii="仿宋_GB2312" w:hAnsi="仿宋_GB2312" w:eastAsia="仿宋_GB2312" w:cs="仿宋_GB2312"/>
        </w:rPr>
      </w:pPr>
      <w:bookmarkStart w:id="225" w:name="_Toc26338"/>
      <w:r>
        <w:rPr>
          <w:rFonts w:hint="eastAsia" w:ascii="仿宋_GB2312" w:hAnsi="仿宋_GB2312" w:eastAsia="仿宋_GB2312" w:cs="仿宋_GB2312"/>
        </w:rPr>
        <w:t>完善政府与大型企业集团沟通协作机制，实施精准化招商。积极参与各类高峰论坛、主题会展、大型招商引资洽谈会和专业招商活动。坚持招商选资，对高污染、技术落后产业坚决拒之门外。以农业、工业等传统产业改造升级和会议展览、文化旅游、商贸物流等现代服务业培育为重点，积极引进大企业大集团。</w:t>
      </w:r>
      <w:bookmarkEnd w:id="225"/>
      <w:bookmarkStart w:id="226" w:name="_Toc12433"/>
      <w:bookmarkStart w:id="227" w:name="_Toc20244"/>
      <w:bookmarkStart w:id="228" w:name="_Toc9405"/>
      <w:r>
        <w:rPr>
          <w:rFonts w:hint="eastAsia" w:ascii="仿宋_GB2312" w:hAnsi="仿宋_GB2312" w:eastAsia="仿宋_GB2312" w:cs="仿宋_GB2312"/>
        </w:rPr>
        <w:t>坚定不移地发展产业链集群，扶持引入全球龙头企业成为产业链集群核心，保证产业链集群健康发展；进一步加强国际合作，带动全球产业链大循环。</w:t>
      </w:r>
      <w:bookmarkEnd w:id="226"/>
      <w:bookmarkEnd w:id="227"/>
      <w:r>
        <w:rPr>
          <w:rFonts w:hint="eastAsia" w:ascii="仿宋_GB2312" w:hAnsi="仿宋_GB2312" w:eastAsia="仿宋_GB2312" w:cs="仿宋_GB2312"/>
        </w:rPr>
        <w:t>支持习水经济开发区与大型央企和国企开展合作，引进一批投资额度高、土地利用率高、财政贡献率高、产业集中度高的“四高”项目。把高速公路作为我县大开放大发展的生命线工程，推动仁赤高速复线、习水至桐梓高速、綦江至习水高速等线路早日建成运营，拓宽对外开放渠道。吸引企业家来我县投资创业。探索鼓励习水籍企业家回乡投资创业的发展机制。</w:t>
      </w:r>
      <w:bookmarkEnd w:id="228"/>
    </w:p>
    <w:p>
      <w:pPr>
        <w:pStyle w:val="5"/>
        <w:jc w:val="center"/>
        <w:rPr>
          <w:rFonts w:ascii="仿宋_GB2312" w:hAnsi="仿宋_GB2312" w:eastAsia="仿宋_GB2312" w:cs="仿宋_GB2312"/>
          <w:b/>
          <w:bCs/>
          <w:sz w:val="32"/>
          <w:szCs w:val="32"/>
        </w:rPr>
      </w:pPr>
      <w:bookmarkStart w:id="229" w:name="_Toc28686"/>
      <w:bookmarkStart w:id="230" w:name="_Toc14363"/>
      <w:bookmarkStart w:id="231" w:name="_Toc31002"/>
      <w:r>
        <w:rPr>
          <w:rFonts w:hint="eastAsia" w:ascii="仿宋_GB2312" w:hAnsi="仿宋_GB2312" w:eastAsia="仿宋_GB2312" w:cs="仿宋_GB2312"/>
          <w:b/>
          <w:bCs/>
          <w:sz w:val="32"/>
          <w:szCs w:val="32"/>
        </w:rPr>
        <w:t>第三节   发展高水平开放型经济</w:t>
      </w:r>
      <w:bookmarkEnd w:id="229"/>
      <w:bookmarkEnd w:id="230"/>
      <w:bookmarkEnd w:id="231"/>
    </w:p>
    <w:p>
      <w:pPr>
        <w:widowControl/>
        <w:ind w:firstLine="560"/>
        <w:rPr>
          <w:rFonts w:ascii="仿宋_GB2312" w:hAnsi="仿宋_GB2312" w:eastAsia="仿宋_GB2312" w:cs="仿宋_GB2312"/>
        </w:rPr>
      </w:pPr>
      <w:r>
        <w:rPr>
          <w:rFonts w:hint="eastAsia" w:ascii="仿宋_GB2312" w:hAnsi="仿宋_GB2312" w:eastAsia="仿宋_GB2312" w:cs="仿宋_GB2312"/>
        </w:rPr>
        <w:t>以信息开放、金融开放、运输开放、人才开放为重点，推进贸易和投资自由化便利化，推动开放型经济高质量发展。聚焦县域优势产业，培育开放型产业集群，培育一批产业链条完整、产品特色鲜明、竞争优势明显的外向型产业示范集群。加快对外贸易创新发展，优化加工贸易发展模式，做强一般贸易，发展总部贸易，积极探索服务贸易创新发展试点，大力推进跨境电商发展。深化落实招商引资负面清单管理制度，壮大利用外资规模，提高外资质量，拓宽利用外资领域，创新利用外资方式，优化利用外资布局，完善外资投资体系。支持推动优势产能、重点企业、特色产品“走出去”。依托我县黔北麻羊、淋滩红糖、醒民粉柚、三岔蜂蜜、大坡杨梅、二郎李子、桃林豌豆粉丝、官店方竹、官店菜油、桑木花椒等优势特色农产品品牌，积极争创省级出口农产品质量安全示范区。充分利用中国（贵州）国际酒类博览会、西洽会等各类经贸洽谈活动以及“丝绸之路”经贸技术合作平台，推动我县名优特产品走向全国乃至世界。</w:t>
      </w: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232" w:name="_Toc17871"/>
      <w:bookmarkStart w:id="233" w:name="_Toc12708"/>
      <w:bookmarkStart w:id="234" w:name="_Toc20289"/>
      <w:r>
        <w:rPr>
          <w:rFonts w:hint="eastAsia" w:ascii="方正小标宋简体" w:hAnsi="方正小标宋简体" w:eastAsia="方正小标宋简体" w:cs="方正小标宋简体"/>
          <w:b w:val="0"/>
          <w:bCs/>
          <w:sz w:val="32"/>
          <w:szCs w:val="32"/>
        </w:rPr>
        <w:t>第十一章   积极增进民生福祉，着力建设“幸福习水”</w:t>
      </w:r>
      <w:bookmarkEnd w:id="232"/>
      <w:bookmarkEnd w:id="233"/>
      <w:bookmarkEnd w:id="234"/>
    </w:p>
    <w:p>
      <w:pPr>
        <w:ind w:firstLine="560"/>
        <w:rPr>
          <w:rFonts w:ascii="仿宋_GB2312" w:hAnsi="仿宋_GB2312" w:eastAsia="仿宋_GB2312" w:cs="仿宋_GB2312"/>
        </w:rPr>
      </w:pPr>
      <w:r>
        <w:rPr>
          <w:rFonts w:hint="eastAsia" w:ascii="仿宋_GB2312" w:hAnsi="仿宋_GB2312" w:eastAsia="仿宋_GB2312" w:cs="仿宋_GB2312"/>
        </w:rPr>
        <w:t>以保障和改善民生为重点，坚持“兜底线、保基本、多层次、可持续”方针，加快推进基本公共服务均等化，加强社会治理，构建公平公正、共建共享的包容性发展新机制，让人民群众有更多的获得感，着力建设“幸福习水”。</w:t>
      </w:r>
    </w:p>
    <w:p>
      <w:pPr>
        <w:pStyle w:val="5"/>
        <w:jc w:val="center"/>
        <w:rPr>
          <w:rFonts w:ascii="仿宋_GB2312" w:hAnsi="仿宋_GB2312" w:eastAsia="仿宋_GB2312" w:cs="仿宋_GB2312"/>
          <w:b/>
          <w:bCs/>
          <w:sz w:val="32"/>
          <w:szCs w:val="32"/>
        </w:rPr>
      </w:pPr>
      <w:bookmarkStart w:id="235" w:name="_Toc17399"/>
      <w:bookmarkStart w:id="236" w:name="_Toc7451"/>
      <w:bookmarkStart w:id="237" w:name="_Toc32063"/>
      <w:r>
        <w:rPr>
          <w:rFonts w:hint="eastAsia" w:ascii="仿宋_GB2312" w:hAnsi="仿宋_GB2312" w:eastAsia="仿宋_GB2312" w:cs="仿宋_GB2312"/>
          <w:b/>
          <w:bCs/>
          <w:sz w:val="32"/>
          <w:szCs w:val="32"/>
        </w:rPr>
        <w:t>第一节   积极推动创业就业</w:t>
      </w:r>
      <w:bookmarkEnd w:id="235"/>
      <w:bookmarkEnd w:id="236"/>
      <w:bookmarkEnd w:id="237"/>
    </w:p>
    <w:p>
      <w:pPr>
        <w:ind w:firstLine="562"/>
        <w:rPr>
          <w:rFonts w:ascii="仿宋_GB2312" w:hAnsi="仿宋_GB2312" w:eastAsia="仿宋_GB2312" w:cs="仿宋_GB2312"/>
        </w:rPr>
      </w:pPr>
      <w:r>
        <w:rPr>
          <w:rFonts w:hint="eastAsia" w:ascii="仿宋_GB2312" w:hAnsi="仿宋_GB2312" w:eastAsia="仿宋_GB2312" w:cs="仿宋_GB2312"/>
          <w:b/>
          <w:bCs/>
        </w:rPr>
        <w:t>以创业带动高质量就业。</w:t>
      </w:r>
      <w:r>
        <w:rPr>
          <w:rFonts w:hint="eastAsia" w:ascii="仿宋_GB2312" w:hAnsi="仿宋_GB2312" w:eastAsia="仿宋_GB2312" w:cs="仿宋_GB2312"/>
        </w:rPr>
        <w:t>认真落实大学生就业促进计划和创业引领计划，营造大众创业、万众创新的良好氛围。发挥税费减免、财政补贴、融资服务等政策合力，建立完善促进就业创业资金投入长效机制。安排全民创业专项扶持资金，为各类创业主体提供创业贷款贴息、创业担保风险补偿、融资保费补贴及创业奖励补贴。大力发展现代服务业等劳动密集型产业，扶持发展中小微企业，加强对灵活就业、新就业形态的扶持。完善失业监测预警机制。积极开展创业型城市创建工作，发挥示范带动作用。</w:t>
      </w:r>
    </w:p>
    <w:p>
      <w:pPr>
        <w:ind w:firstLine="562"/>
        <w:rPr>
          <w:rFonts w:ascii="仿宋_GB2312" w:hAnsi="仿宋_GB2312" w:eastAsia="仿宋_GB2312" w:cs="仿宋_GB2312"/>
        </w:rPr>
      </w:pPr>
      <w:r>
        <w:rPr>
          <w:rFonts w:hint="eastAsia" w:ascii="仿宋_GB2312" w:hAnsi="仿宋_GB2312" w:eastAsia="仿宋_GB2312" w:cs="仿宋_GB2312"/>
          <w:b/>
          <w:bCs/>
        </w:rPr>
        <w:t>大力支持返乡入乡创业。</w:t>
      </w:r>
      <w:r>
        <w:rPr>
          <w:rFonts w:hint="eastAsia" w:ascii="仿宋_GB2312" w:hAnsi="仿宋_GB2312" w:eastAsia="仿宋_GB2312" w:cs="仿宋_GB2312"/>
        </w:rPr>
        <w:t>整合建设一批特色突出、设施齐全的返乡入乡创业园区（基地），推广新型孵化模式，打造综合性返乡入乡创业孵化载体。统筹安排相关产业用地，切实保障返乡入乡创业用地需求。移民搬迁旧宅基地腾退节余的建设用地指标和整治复垦腾退的建设用地指标，优先用于返乡入乡创业生产经营。创新土地流转政策，鼓励承包农户依法采取转包、出租、互换、转让及入股等方式流转承包地，鼓励长期外出务工的农民家庭将闲置的承包地集中流转给返乡入乡创业企业，用于农业生产经营。盘活工厂、公用设施等闲置房产、空闲土地，结合交通区位、产业基础、生产条件等实际情况，依法依规实施改造利用，为返乡入乡创业人员提供低成本生产和办公场地。创新财政资金支持方式。设立返乡入乡创业资金，为返乡入乡创业人员和企业提供支持。加大贷款支持。加强与相关金融机构合作，创新金融产品和服务，加大对返乡入乡创业企业金融支持。推动城市商业银行、农村商业银行、农村信用社业务逐步回归本源，吸收的存款优先用于返乡入乡创业。完善信息、交通、寄递、物流等基础设施。进一步健全以县、乡、村三级物流节点为支撑的物流网络体系，打通农村物流“最后一公里”，强化返乡入乡创业基础支撑。</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专栏19：创业园区项目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习水县中试城建设项目、习水县鰼创区科创产业孵化园建设项目、习水县小微产业园建设项目。</w:t>
            </w:r>
          </w:p>
        </w:tc>
      </w:tr>
    </w:tbl>
    <w:p>
      <w:pPr>
        <w:spacing w:line="240" w:lineRule="exact"/>
        <w:ind w:firstLine="562"/>
        <w:rPr>
          <w:b/>
          <w:bCs/>
        </w:rPr>
      </w:pP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重视相关重点群体就业。</w:t>
      </w:r>
      <w:r>
        <w:rPr>
          <w:rFonts w:hint="eastAsia" w:ascii="仿宋_GB2312" w:hAnsi="仿宋_GB2312" w:eastAsia="仿宋_GB2312" w:cs="仿宋_GB2312"/>
        </w:rPr>
        <w:t>多渠道开发就业岗位，统筹做好高校毕业生、城乡困难人员等各类群体的就业工作。继续把高校毕业生就业摆在就业工作首位，实行政府购买基层公共服务岗位，健全高校毕业生到基层工作的服务保障机制，支持大学生到城乡基层和中小企业就业。鼓励和支持企业采取在岗培训、轮岗轮训、停薪留职、内部退休等办法稳定就业岗位，研究解决淘汰落后产能、调整产业结构中产生的就业困难人员就业。完善就业援助制度，确保零就业、最低生活保障等困难家庭至少一人就业，促进各类就业困难群体再就业。做好就业培训工作，让重点人群和困难群众拥有一技之长，实现更加充分、更高质量就业。</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完善就业创业服务体系。</w:t>
      </w:r>
      <w:r>
        <w:rPr>
          <w:rFonts w:hint="eastAsia" w:ascii="仿宋_GB2312" w:hAnsi="仿宋_GB2312" w:eastAsia="仿宋_GB2312" w:cs="仿宋_GB2312"/>
        </w:rPr>
        <w:t>完善普惠性的公共就业创业服务制度，进一步完善劳动预备培训、职业技能培训、岗位技能提升培训、创业培训为一体的全方位培训体系，推进公共就业创业服务对所有劳动者的全覆盖。推动就业服务和人才交流服务机构的整合，建立功能完善、机制健全、服务规范、统一运行的人力资源市场体系。加强公共就业服务信息系统建设，全面提升公共就业服务专业化、标准化、规范化水平。完善劳动人事争议调解仲裁和劳动保障监察制度，构建和谐劳动关系。广泛开展就业援助、春风行动、人才智力交流等公共就业服务专项活动。</w:t>
      </w:r>
    </w:p>
    <w:p>
      <w:pPr>
        <w:pStyle w:val="5"/>
        <w:jc w:val="center"/>
        <w:rPr>
          <w:rFonts w:ascii="仿宋_GB2312" w:hAnsi="仿宋_GB2312" w:eastAsia="仿宋_GB2312" w:cs="仿宋_GB2312"/>
          <w:b/>
          <w:bCs/>
          <w:sz w:val="32"/>
          <w:szCs w:val="32"/>
        </w:rPr>
      </w:pPr>
      <w:bookmarkStart w:id="238" w:name="_Toc29180"/>
      <w:bookmarkStart w:id="239" w:name="_Toc16534"/>
      <w:bookmarkStart w:id="240" w:name="_Toc30819"/>
      <w:r>
        <w:rPr>
          <w:rFonts w:hint="eastAsia" w:ascii="仿宋_GB2312" w:hAnsi="仿宋_GB2312" w:eastAsia="仿宋_GB2312" w:cs="仿宋_GB2312"/>
          <w:b/>
          <w:bCs/>
          <w:sz w:val="32"/>
          <w:szCs w:val="32"/>
        </w:rPr>
        <w:t>第二节   全面推进教育发展</w:t>
      </w:r>
      <w:bookmarkEnd w:id="238"/>
      <w:bookmarkEnd w:id="239"/>
      <w:bookmarkEnd w:id="240"/>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积极推进教育公平。</w:t>
      </w:r>
      <w:r>
        <w:rPr>
          <w:rFonts w:hint="eastAsia" w:ascii="仿宋_GB2312" w:hAnsi="仿宋_GB2312" w:eastAsia="仿宋_GB2312" w:cs="仿宋_GB2312"/>
        </w:rPr>
        <w:t>科学调整学校布局，全面优化教育资源。到2025年，乡镇新建幼儿园6所，县城新建十二年一贯制学校1所，普通高中1所，初级中学2所，小学3所，统筹调配全县教育教学资源，推进义务教育优质均衡发展。加强师资建设，优化学科结构。到2025年，形成一支师德高尚、业务精湛、结构合理、充满活力的高素质专业化教师队伍。全面推进教育信息现代化进程。深入实施教育信息化2.0行动计划，“三全两高一大”深入发展，“5G+光纤”教育城域网和“互联网+教育”大数据云平台全面应用。保障特殊群体儿童享受公平的受教育机会。</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协调发展各类教育。</w:t>
      </w:r>
      <w:r>
        <w:rPr>
          <w:rFonts w:hint="eastAsia" w:ascii="仿宋_GB2312" w:hAnsi="仿宋_GB2312" w:eastAsia="仿宋_GB2312" w:cs="仿宋_GB2312"/>
        </w:rPr>
        <w:t>科学发展学前教育。构建以公益性、普惠性为主的学前教育公共服务体系，扩大学前教育资源。均衡发展义务教育。全面推进办学条件标准化，推动县域内义务教育优质均衡发展。全面实施集团化办学。持续关注特殊群体儿童教育。关爱留守儿童、残疾儿童的生活与教育，持续实施“全员育人导师制”，加强普特结合，推进融合教育发展。特色发展高中教育。优化高中教育整体布局, 实施普通高中提升计划，加强高中学校标准化建设。加快实施习水五中整体搬迁。建立健全普职高中合理流动就学体系。加强职业教育基础设施建设，提升中职学校办学水平。有序发展民办教育。多措并举，多元投入，吸引优质教育资源来习办学，加大民办教育扶持力度，全面提升民办教育的整体办学水平。</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着力提高教育质量。</w:t>
      </w:r>
      <w:r>
        <w:rPr>
          <w:rFonts w:hint="eastAsia" w:ascii="仿宋_GB2312" w:hAnsi="仿宋_GB2312" w:eastAsia="仿宋_GB2312" w:cs="仿宋_GB2312"/>
        </w:rPr>
        <w:t>坚持“五育并举，德育为先”。把“立德树人”贯穿于各级各类教育始终，培育“人格健全，身心健康”的合格人才。强化教师专业发展，推动课程改革。构建科学的教育质量综合评价体系和师生发展综合评价体系。关注学生学习能力、创新能力和个性化发展。</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hint="eastAsia" w:ascii="仿宋_GB2312" w:hAnsi="仿宋_GB2312" w:eastAsia="仿宋_GB2312" w:cs="仿宋_GB2312"/>
        </w:rPr>
      </w:pPr>
      <w:r>
        <w:rPr>
          <w:rFonts w:hint="eastAsia" w:ascii="仿宋_GB2312" w:hAnsi="仿宋_GB2312" w:eastAsia="仿宋_GB2312" w:cs="仿宋_GB2312"/>
          <w:b/>
          <w:bCs/>
        </w:rPr>
        <w:t>构建现代化教育体系。</w:t>
      </w:r>
      <w:r>
        <w:rPr>
          <w:rFonts w:hint="eastAsia" w:ascii="仿宋_GB2312" w:hAnsi="仿宋_GB2312" w:eastAsia="仿宋_GB2312" w:cs="仿宋_GB2312"/>
        </w:rPr>
        <w:t>深化教育体制机制综合改革，建立现代化学校制度。完善社区教育。加强学校教育、家庭教育和社会教育紧密结合，建设全社会关心未成年人思想教育的工作体系。整合社区教育、职业培训、农村教育、老年教育、继续教育、民族教育等教育资源，构建科学完备的大教育体系。</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专栏20：教育类重点项目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职业技术学校良村校区二期建设项目、习水县东皇街道银龙村驾校建设项目、习水县第十三中学建设项目、习水县第十五中学建设项目、习水县第十二中学建设项目、习水县第十四中学建设项目、习水县第十二小学建设项目、习水县第十三小学建设项目、习水县第十四小学建设项目、习水县新蓝外国语学校建设项目、习水县第五中学迁建项目、习水县玉淮中学搬迁工程、习水县幼儿园建设项目（打捆）。</w:t>
            </w:r>
          </w:p>
        </w:tc>
      </w:tr>
    </w:tbl>
    <w:p>
      <w:pPr>
        <w:pStyle w:val="5"/>
        <w:jc w:val="center"/>
        <w:rPr>
          <w:rFonts w:ascii="仿宋_GB2312" w:hAnsi="仿宋_GB2312" w:eastAsia="仿宋_GB2312" w:cs="仿宋_GB2312"/>
          <w:b/>
          <w:bCs/>
          <w:sz w:val="32"/>
          <w:szCs w:val="32"/>
        </w:rPr>
      </w:pPr>
      <w:bookmarkStart w:id="241" w:name="_Toc6480"/>
      <w:bookmarkStart w:id="242" w:name="_Toc14758"/>
      <w:bookmarkStart w:id="243" w:name="_Toc30140"/>
      <w:r>
        <w:rPr>
          <w:rFonts w:hint="eastAsia" w:ascii="仿宋_GB2312" w:hAnsi="仿宋_GB2312" w:eastAsia="仿宋_GB2312" w:cs="仿宋_GB2312"/>
          <w:b/>
          <w:bCs/>
          <w:sz w:val="32"/>
          <w:szCs w:val="32"/>
        </w:rPr>
        <w:t>第三节   提高全民健康质量</w:t>
      </w:r>
      <w:bookmarkEnd w:id="241"/>
      <w:bookmarkEnd w:id="242"/>
      <w:bookmarkEnd w:id="243"/>
    </w:p>
    <w:p>
      <w:pPr>
        <w:ind w:firstLine="562"/>
        <w:rPr>
          <w:rFonts w:ascii="仿宋_GB2312" w:hAnsi="仿宋_GB2312" w:eastAsia="仿宋_GB2312" w:cs="仿宋_GB2312"/>
        </w:rPr>
      </w:pPr>
      <w:r>
        <w:rPr>
          <w:rFonts w:hint="eastAsia" w:ascii="仿宋_GB2312" w:hAnsi="仿宋_GB2312" w:eastAsia="仿宋_GB2312" w:cs="仿宋_GB2312"/>
          <w:b/>
          <w:bCs/>
        </w:rPr>
        <w:t>推进公共卫生服务建设。</w:t>
      </w:r>
      <w:r>
        <w:rPr>
          <w:rFonts w:hint="eastAsia" w:ascii="仿宋_GB2312" w:hAnsi="仿宋_GB2312" w:eastAsia="仿宋_GB2312" w:cs="仿宋_GB2312"/>
        </w:rPr>
        <w:t>健全公共卫生服务体系，优化医疗卫生资源投入结构，加强农村、社区等基层防控能力建设。健全应急物资储备制度，加强卫生应急队伍建设。进一步强化医疗机构传染病防治能力建设，规范建设传染病医院、综合医院发热门诊和隔离病房。深入开展爱国卫生运动，加快推进农村室外户厕改建。强化风险意识，完善公共卫生重大风险研判、评估、决策、防控协同机制。制定有利于卫生人才培养使用的政策措施。</w:t>
      </w:r>
    </w:p>
    <w:p>
      <w:pPr>
        <w:ind w:firstLine="562"/>
        <w:rPr>
          <w:rFonts w:ascii="仿宋_GB2312" w:hAnsi="仿宋_GB2312" w:eastAsia="仿宋_GB2312" w:cs="仿宋_GB2312"/>
        </w:rPr>
      </w:pPr>
      <w:r>
        <w:rPr>
          <w:rFonts w:hint="eastAsia" w:ascii="仿宋_GB2312" w:hAnsi="仿宋_GB2312" w:eastAsia="仿宋_GB2312" w:cs="仿宋_GB2312"/>
          <w:b/>
          <w:bCs/>
        </w:rPr>
        <w:t>完善疫情防控救治体系。</w:t>
      </w:r>
      <w:r>
        <w:rPr>
          <w:rFonts w:hint="eastAsia" w:ascii="仿宋_GB2312" w:hAnsi="仿宋_GB2312" w:eastAsia="仿宋_GB2312" w:cs="仿宋_GB2312"/>
        </w:rPr>
        <w:t>全面实施疾病预防控制规划，健全传染性疾病暴发调查处理和报告制度。加快疾病预防控制体系建设，提升重大传染病、地方病、慢性非传染性疾病的预防控制能力。以防控新型冠状病毒肺炎为契机，进一步健全重大疫情应急响应机制。强化依法防治传染病意识，严格落实属地管理责任，积极开展疫情防控。支持一线临床技术创新，及时推广有效救治方案。鼓励运用大数据、人工智能、云计算等数字技术等开展远程医疗，在疫情监测分析、病毒溯源、防控救治、资源调配方面更好地发挥支撑作用。强化智慧医疗，推进区域医疗信息中心建设。持续加强全科医生培养、分级诊疗等制度建设，健全防治结合、联防联控、群防群治的工作机制。</w:t>
      </w:r>
    </w:p>
    <w:p>
      <w:pPr>
        <w:ind w:firstLine="562"/>
        <w:rPr>
          <w:rFonts w:ascii="仿宋_GB2312" w:hAnsi="仿宋_GB2312" w:eastAsia="仿宋_GB2312" w:cs="仿宋_GB2312"/>
        </w:rPr>
      </w:pPr>
      <w:r>
        <w:rPr>
          <w:rFonts w:hint="eastAsia" w:ascii="仿宋_GB2312" w:hAnsi="仿宋_GB2312" w:eastAsia="仿宋_GB2312" w:cs="仿宋_GB2312"/>
          <w:b/>
          <w:bCs/>
        </w:rPr>
        <w:t>促进健康服务业发展。</w:t>
      </w:r>
      <w:r>
        <w:rPr>
          <w:rFonts w:hint="eastAsia" w:ascii="仿宋_GB2312" w:hAnsi="仿宋_GB2312" w:eastAsia="仿宋_GB2312" w:cs="仿宋_GB2312"/>
        </w:rPr>
        <w:t>鼓励、支持发展民营专科医院。调整区域卫生规划，将原有八个中心乡镇卫生院调减为温水、官店、桑木、习酒、土城等五个中心乡镇卫生院，并将中心乡镇卫生院建成二级医院水平。加快推进习水县第二人民医院建设，推进习水县人民医院三级综合医院、二级县妇幼保健院达标创建。持续探索“县域龙头带中心、中心乡镇带一般”的医共体建设模式，全面推进医疗卫生工作重心下移。实施“村覆盖、乡达标、县提高”工程，全面启动医疗卫生机构新建或改扩建项目。巩固村卫生室全覆盖成果，建立乡村医生进退流转机制，落实村卫生室运行补助经费。实施城乡医院对口支援工程，开展二级以上医疗机构对口支援乡镇卫生院工作。完善中医药服务体系，实施中医药服务能力提升工程，加大中医药适宜技术培训和推广应用。</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专栏21：健康领域重点项目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友好医院建设项目、习水县妇女儿童医院建设项目、习水县儿童专科医院建设项目、习水县人民医院传染病区建设项目、习水县安康精神病医院建设项目、习水县县乡医疗机构公共卫生信息化建设项目、习水县动物疫病防控体系建设项目、习水县中心血站建设项目、习水县第二人民医院业务综合大楼建设项目、习水县人民医院城东养老院建设项目、习水县50个行政村卫生室建设项目、习水县疾控能力提升温水镇卫生院公共卫生楼建设项目、习水县疾控能力提升习酒镇卫生院公共卫生楼建设项目、习水县两路片区康养医院建设项目。</w:t>
            </w:r>
          </w:p>
        </w:tc>
      </w:tr>
    </w:tbl>
    <w:p>
      <w:pPr>
        <w:pStyle w:val="5"/>
        <w:jc w:val="center"/>
        <w:rPr>
          <w:rFonts w:ascii="仿宋_GB2312" w:hAnsi="仿宋_GB2312" w:eastAsia="仿宋_GB2312" w:cs="仿宋_GB2312"/>
          <w:b/>
          <w:bCs/>
          <w:sz w:val="32"/>
          <w:szCs w:val="32"/>
        </w:rPr>
      </w:pPr>
      <w:bookmarkStart w:id="244" w:name="_Toc9376"/>
      <w:bookmarkStart w:id="245" w:name="_Toc23148"/>
      <w:bookmarkStart w:id="246" w:name="_Toc27463"/>
      <w:r>
        <w:rPr>
          <w:rFonts w:hint="eastAsia" w:ascii="仿宋_GB2312" w:hAnsi="仿宋_GB2312" w:eastAsia="仿宋_GB2312" w:cs="仿宋_GB2312"/>
          <w:b/>
          <w:bCs/>
          <w:sz w:val="32"/>
          <w:szCs w:val="32"/>
        </w:rPr>
        <w:t>第四节   大力完善社会保障</w:t>
      </w:r>
      <w:bookmarkEnd w:id="244"/>
      <w:bookmarkEnd w:id="245"/>
      <w:bookmarkEnd w:id="246"/>
    </w:p>
    <w:p>
      <w:pPr>
        <w:ind w:firstLine="562"/>
        <w:rPr>
          <w:rFonts w:ascii="仿宋_GB2312" w:hAnsi="仿宋_GB2312" w:eastAsia="仿宋_GB2312" w:cs="仿宋_GB2312"/>
        </w:rPr>
      </w:pPr>
      <w:r>
        <w:rPr>
          <w:rFonts w:hint="eastAsia" w:ascii="仿宋_GB2312" w:hAnsi="仿宋_GB2312" w:eastAsia="仿宋_GB2312" w:cs="仿宋_GB2312"/>
          <w:b/>
          <w:bCs/>
        </w:rPr>
        <w:t>提升社会保障层次。</w:t>
      </w:r>
      <w:r>
        <w:rPr>
          <w:rFonts w:hint="eastAsia" w:ascii="仿宋_GB2312" w:hAnsi="仿宋_GB2312" w:eastAsia="仿宋_GB2312" w:cs="仿宋_GB2312"/>
        </w:rPr>
        <w:t>实施全民参保登记计划，以非公经济、流动人员、灵活就业人员和个体工商户为重点，实现社保全覆盖。全面实施机关事业单位养老保险制度改革。完善城镇职工基本养老保险个人账户制度。完善城乡居民基本养老保险制度，逐步提高城乡居民养老保障水平。推进城乡居民医疗保险制度整合，健全城乡居民医疗保险体系。健全医疗保险稳定、可持续筹措和报销比例调整机制。改革医保支付方式，发挥医保控费作用。做好基本医保、大病保险与医疗救助的衔接，保障重点向困难人群、大病患者倾斜，降低医保政策范围内住院医疗费用的个人自费比例，稳步提高医保待遇水平。提高社会保障管理服务水平，全面推进“社会保障卡”应用。</w:t>
      </w:r>
    </w:p>
    <w:p>
      <w:pPr>
        <w:ind w:firstLine="562"/>
        <w:rPr>
          <w:rFonts w:ascii="仿宋_GB2312" w:hAnsi="仿宋_GB2312" w:eastAsia="仿宋_GB2312" w:cs="仿宋_GB2312"/>
        </w:rPr>
      </w:pPr>
      <w:r>
        <w:rPr>
          <w:rFonts w:hint="eastAsia" w:ascii="仿宋_GB2312" w:hAnsi="仿宋_GB2312" w:eastAsia="仿宋_GB2312" w:cs="仿宋_GB2312"/>
          <w:b/>
          <w:bCs/>
        </w:rPr>
        <w:t>健全养老服务体系。</w:t>
      </w:r>
      <w:r>
        <w:rPr>
          <w:rFonts w:hint="eastAsia" w:ascii="仿宋_GB2312" w:hAnsi="仿宋_GB2312" w:eastAsia="仿宋_GB2312" w:cs="仿宋_GB2312"/>
        </w:rPr>
        <w:t>加快构建以居家为基础、社区为依托、机构为补充、医养相结合的养老服务体系。创新养老服务业发展机制，加大各级公办养老服务机构建设力度，积极推进养老设施集中布局、功能互补、集约建设和均衡配置，实现城乡养老服务一体化。全面放开养老服务市场，通过购买服务、股权合作等方式支持各类市场主体增加养老服务和产品供给。加强农村特困人员供养服务机构建设管理，稳步提高托底保障能力和服务质量。完善市、乡镇三级老年服务配套设施，增建老年活动中心，丰富老年人文化生活。建立60岁以上老年人个人健康档案，逐步实施老年人免费健康检查，提高老年人生活质量。</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专栏22：社会保障项目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bidi="ar"/>
              </w:rPr>
              <w:t>习水县岷山路移民搬迁安置点托育中心建设项目、习水县寨坝镇敬老院项目、习水县儿童福利院建设项目、习水县救助站建设项目、习水县城乡公益性公墓建设项目、习水县农村敬老院提质改造建设项目、习水县乡镇殡仪服务站建设项目、习水县乡镇集镇公益性公墓建设项目。</w:t>
            </w:r>
          </w:p>
        </w:tc>
      </w:tr>
    </w:tbl>
    <w:p>
      <w:pPr>
        <w:ind w:firstLine="562"/>
        <w:rPr>
          <w:rFonts w:ascii="仿宋_GB2312" w:hAnsi="仿宋_GB2312" w:eastAsia="仿宋_GB2312" w:cs="仿宋_GB2312"/>
        </w:rPr>
      </w:pPr>
      <w:r>
        <w:rPr>
          <w:rFonts w:hint="eastAsia" w:ascii="仿宋_GB2312" w:hAnsi="仿宋_GB2312" w:eastAsia="仿宋_GB2312" w:cs="仿宋_GB2312"/>
          <w:b/>
          <w:bCs/>
        </w:rPr>
        <w:t>完善社会救助体系。</w:t>
      </w:r>
      <w:r>
        <w:rPr>
          <w:rFonts w:hint="eastAsia" w:ascii="仿宋_GB2312" w:hAnsi="仿宋_GB2312" w:eastAsia="仿宋_GB2312" w:cs="仿宋_GB2312"/>
        </w:rPr>
        <w:t>构建以最低生活保障为基础，专项救助相配套，临时救助、法律援助、社会互助为补充的兜底保障、全面覆盖、无缝衔接型社会救助体系。加强社会救助制度与最低工资制度、再就业扶持政策以及医疗保障体系的衔接。逐步提高城乡最低生活保障标准，实施分类施保，推动城乡低保标准并轨。完善临时救助制度，健全与经济发展和物价水平相适应的救助标准动态调整机制，提升社会救助的保障水平。落实经济困难的残疾人生活补贴、高龄与百岁以上老年人补贴新标准。加强社会救助信息系统建设，建立健全社会救助对象家庭经济状况核查机制，提高救助对象认定的准确性，完善退出机制，实现动态管理下的应保尽保。加强流浪乞讨人员救助管理。健全完善灾害管理体制机制和预案体系，提升灾害应急响应能力。健全减灾救灾社会动员机制，落实灾民基本生活救助，全面提升综合防灾减灾能力。</w:t>
      </w:r>
    </w:p>
    <w:p>
      <w:pPr>
        <w:ind w:firstLine="562"/>
        <w:rPr>
          <w:rFonts w:ascii="仿宋_GB2312" w:hAnsi="仿宋_GB2312" w:eastAsia="仿宋_GB2312" w:cs="仿宋_GB2312"/>
        </w:rPr>
      </w:pPr>
      <w:r>
        <w:rPr>
          <w:rFonts w:hint="eastAsia" w:ascii="仿宋_GB2312" w:hAnsi="仿宋_GB2312" w:eastAsia="仿宋_GB2312" w:cs="仿宋_GB2312"/>
          <w:b/>
          <w:bCs/>
        </w:rPr>
        <w:t>有序推进住房保障。</w:t>
      </w:r>
      <w:r>
        <w:rPr>
          <w:rFonts w:hint="eastAsia" w:ascii="仿宋_GB2312" w:hAnsi="仿宋_GB2312" w:eastAsia="仿宋_GB2312" w:cs="仿宋_GB2312"/>
        </w:rPr>
        <w:t>继续抓好公租房、住房租赁补贴等住房保障政策，积极探索限价商品房建设模式，加强公租房运营管理，加快发展租售市场，多措并举改善城镇群众居住条件。防范房地产领域潜在风险。</w:t>
      </w:r>
    </w:p>
    <w:p>
      <w:pPr>
        <w:spacing w:before="156" w:beforeLines="50" w:after="156" w:afterLines="50"/>
        <w:ind w:firstLine="2530" w:firstLineChars="900"/>
        <w:rPr>
          <w:rFonts w:ascii="楷体_GB2312" w:hAnsi="楷体_GB2312" w:eastAsia="楷体_GB2312" w:cs="楷体_GB2312"/>
          <w:b/>
          <w:bCs/>
        </w:rPr>
      </w:pPr>
      <w:r>
        <w:rPr>
          <w:rFonts w:hint="eastAsia" w:ascii="楷体_GB2312" w:hAnsi="楷体_GB2312" w:eastAsia="楷体_GB2312" w:cs="楷体_GB2312"/>
          <w:b/>
          <w:bCs/>
        </w:rPr>
        <w:t>专栏23：住房保障项目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2"/>
              <w:rPr>
                <w:rFonts w:ascii="楷体_GB2312" w:hAnsi="楷体_GB2312" w:eastAsia="楷体_GB2312" w:cs="楷体_GB2312"/>
                <w:sz w:val="24"/>
                <w:szCs w:val="24"/>
                <w:lang w:bidi="ar"/>
              </w:rPr>
            </w:pPr>
            <w:r>
              <w:rPr>
                <w:rFonts w:hint="eastAsia" w:ascii="楷体_GB2312" w:hAnsi="楷体_GB2312" w:eastAsia="楷体_GB2312" w:cs="楷体_GB2312"/>
                <w:b/>
                <w:bCs/>
                <w:sz w:val="24"/>
                <w:szCs w:val="24"/>
                <w:lang w:bidi="ar"/>
              </w:rPr>
              <w:t>1、老旧小区改造：</w:t>
            </w:r>
            <w:r>
              <w:rPr>
                <w:rFonts w:hint="eastAsia" w:ascii="楷体_GB2312" w:hAnsi="楷体_GB2312" w:eastAsia="楷体_GB2312" w:cs="楷体_GB2312"/>
                <w:sz w:val="24"/>
                <w:szCs w:val="24"/>
                <w:lang w:bidi="ar"/>
              </w:rPr>
              <w:t>习水县寨坝镇老旧小区改造工程、习水县九龙街道老旧小区改造项目、习水县老公安局片区旧城改造项目、习水县2021年老旧小区改造项目、习水县2021年老年所小区改造项目、习水县2021年老一中家属房小区改造项目、习水县2021年老计生局、环保局和烟草公司家属房小区改造项目、习水县2021年老粮管所小区改造项目、2023年老旧小区改造项目。</w:t>
            </w:r>
          </w:p>
          <w:p>
            <w:pPr>
              <w:spacing w:line="440" w:lineRule="exact"/>
              <w:ind w:firstLine="482"/>
              <w:rPr>
                <w:rFonts w:ascii="楷体_GB2312" w:hAnsi="楷体_GB2312" w:eastAsia="楷体_GB2312" w:cs="楷体_GB2312"/>
                <w:sz w:val="24"/>
                <w:szCs w:val="24"/>
                <w:lang w:bidi="ar"/>
              </w:rPr>
            </w:pPr>
            <w:r>
              <w:rPr>
                <w:rFonts w:hint="eastAsia" w:ascii="楷体_GB2312" w:hAnsi="楷体_GB2312" w:eastAsia="楷体_GB2312" w:cs="楷体_GB2312"/>
                <w:b/>
                <w:bCs/>
                <w:sz w:val="24"/>
                <w:szCs w:val="24"/>
                <w:lang w:bidi="ar"/>
              </w:rPr>
              <w:t>2、棚户区改造：</w:t>
            </w:r>
            <w:r>
              <w:rPr>
                <w:rFonts w:hint="eastAsia" w:ascii="楷体_GB2312" w:hAnsi="楷体_GB2312" w:eastAsia="楷体_GB2312" w:cs="楷体_GB2312"/>
                <w:sz w:val="24"/>
                <w:szCs w:val="24"/>
                <w:lang w:bidi="ar"/>
              </w:rPr>
              <w:t>习水县2018年中医院片区城市棚户区改造项目、习水县2018年华润C段二期片区城市棚户区改造项目、习水县2018年伏龙一期片区城市棚户区改造项目、习水县2020年棚户区改造项目、习水县2021年冷冻厂片区棚户区改造、习水县2021年电厂生活区片区棚户区改造、习水县2021年双垭子区片区棚户区改造、习水县2020年天堂坝片区城市棚户区改造项目、习水县2020年小沟片区城市棚户区改造项目、习水县2020年二化厂片区城市棚户区改造项目、习水县2020年昆仑路片区城市棚户区改造项目、习水县2020年五中片区城市棚户区改造项目。</w:t>
            </w:r>
          </w:p>
          <w:p>
            <w:pPr>
              <w:spacing w:line="44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lang w:bidi="ar"/>
              </w:rPr>
              <w:t>3、公租房项目：</w:t>
            </w:r>
            <w:r>
              <w:rPr>
                <w:rFonts w:hint="eastAsia" w:ascii="楷体_GB2312" w:hAnsi="楷体_GB2312" w:eastAsia="楷体_GB2312" w:cs="楷体_GB2312"/>
                <w:sz w:val="24"/>
                <w:szCs w:val="24"/>
                <w:lang w:bidi="ar"/>
              </w:rPr>
              <w:t>习水县杉王街道公租房建设项目、习水县习酒镇白杨林组白酒产业配套建设项目。</w:t>
            </w:r>
          </w:p>
        </w:tc>
      </w:tr>
    </w:tbl>
    <w:p>
      <w:pPr>
        <w:spacing w:line="240" w:lineRule="exact"/>
        <w:ind w:firstLine="562"/>
        <w:rPr>
          <w:rFonts w:ascii="仿宋_GB2312" w:hAnsi="仿宋_GB2312" w:eastAsia="仿宋_GB2312" w:cs="仿宋_GB2312"/>
          <w:b/>
          <w:bCs/>
        </w:rPr>
      </w:pPr>
    </w:p>
    <w:p>
      <w:pPr>
        <w:ind w:firstLine="562"/>
        <w:rPr>
          <w:rFonts w:ascii="仿宋_GB2312" w:hAnsi="仿宋_GB2312" w:eastAsia="仿宋_GB2312" w:cs="仿宋_GB2312"/>
        </w:rPr>
      </w:pPr>
      <w:r>
        <w:rPr>
          <w:rFonts w:hint="eastAsia" w:ascii="仿宋_GB2312" w:hAnsi="仿宋_GB2312" w:eastAsia="仿宋_GB2312" w:cs="仿宋_GB2312"/>
          <w:b/>
          <w:bCs/>
        </w:rPr>
        <w:t>推进福利事业发展。</w:t>
      </w:r>
      <w:r>
        <w:rPr>
          <w:rFonts w:hint="eastAsia" w:ascii="仿宋_GB2312" w:hAnsi="仿宋_GB2312" w:eastAsia="仿宋_GB2312" w:cs="仿宋_GB2312"/>
        </w:rPr>
        <w:t>构建覆盖城乡、适度普惠、层次分明的新型社会福利体系。鼓励开展社会慈善、社会捐赠、群众互助等社会扶助活动，积极营造全民参与互助的社会氛围。扩大社会福利覆盖范围，逐步将基本社会福利拓展到流动人口。大力发展慈善捐赠事业，充分发挥慈善组织的社会救助作用。完善社会福利事业管理、运行和保障机制，支持社会力量兴办社会福利机构。大力发展残疾人事业，实现残疾人人人享有康复服务的目标。有效整合老龄委、民政、残联等公共资源，加强弱势群体信息平台建设。</w:t>
      </w:r>
    </w:p>
    <w:p>
      <w:pPr>
        <w:pStyle w:val="5"/>
        <w:jc w:val="center"/>
        <w:rPr>
          <w:rFonts w:ascii="仿宋_GB2312" w:hAnsi="仿宋_GB2312" w:eastAsia="仿宋_GB2312" w:cs="仿宋_GB2312"/>
          <w:b/>
          <w:bCs/>
          <w:sz w:val="32"/>
          <w:szCs w:val="32"/>
        </w:rPr>
      </w:pPr>
      <w:bookmarkStart w:id="247" w:name="_Toc14430"/>
      <w:bookmarkStart w:id="248" w:name="_Toc23201"/>
      <w:bookmarkStart w:id="249" w:name="_Toc12400"/>
      <w:r>
        <w:rPr>
          <w:rFonts w:hint="eastAsia" w:ascii="仿宋_GB2312" w:hAnsi="仿宋_GB2312" w:eastAsia="仿宋_GB2312" w:cs="仿宋_GB2312"/>
          <w:b/>
          <w:bCs/>
          <w:sz w:val="32"/>
          <w:szCs w:val="32"/>
        </w:rPr>
        <w:t>第五节   提高全民收入水平</w:t>
      </w:r>
      <w:bookmarkEnd w:id="247"/>
      <w:bookmarkEnd w:id="248"/>
      <w:bookmarkEnd w:id="249"/>
    </w:p>
    <w:p>
      <w:pPr>
        <w:ind w:firstLine="562"/>
        <w:rPr>
          <w:rFonts w:ascii="仿宋_GB2312" w:hAnsi="仿宋_GB2312" w:eastAsia="仿宋_GB2312" w:cs="仿宋_GB2312"/>
        </w:rPr>
      </w:pPr>
      <w:r>
        <w:rPr>
          <w:rFonts w:hint="eastAsia" w:ascii="仿宋_GB2312" w:hAnsi="仿宋_GB2312" w:eastAsia="仿宋_GB2312" w:cs="仿宋_GB2312"/>
          <w:b/>
          <w:bCs/>
        </w:rPr>
        <w:t>支持农村居民增加收入。</w:t>
      </w:r>
      <w:r>
        <w:rPr>
          <w:rFonts w:hint="eastAsia" w:ascii="仿宋_GB2312" w:hAnsi="仿宋_GB2312" w:eastAsia="仿宋_GB2312" w:cs="仿宋_GB2312"/>
        </w:rPr>
        <w:t>建立保障和促进农民收入多元化增长的长效机制，努力缩小城乡收入差距。提高农村土地承包经营权、林权等资源的市场化程度，增强农村集体经济活力，提高农民的财产性收入。发展农业特色产业，提高农民的经营性收入。拓宽非农就业渠道，提高农民的工资性收入。完善利益补偿、风险补助、价格支持政策措施，支持农民自主创业，增加农民的转移性收入。推行农民工实名制管理、工资和工程款分账管理、银行代发工资等制度，建立农民工工资支付保障机制。</w:t>
      </w:r>
    </w:p>
    <w:p>
      <w:pPr>
        <w:ind w:firstLine="562"/>
        <w:rPr>
          <w:rFonts w:ascii="仿宋_GB2312" w:hAnsi="仿宋_GB2312" w:eastAsia="仿宋_GB2312" w:cs="仿宋_GB2312"/>
        </w:rPr>
      </w:pPr>
      <w:r>
        <w:rPr>
          <w:rFonts w:hint="eastAsia" w:ascii="仿宋_GB2312" w:hAnsi="仿宋_GB2312" w:eastAsia="仿宋_GB2312" w:cs="仿宋_GB2312"/>
          <w:b/>
          <w:bCs/>
        </w:rPr>
        <w:t>拓宽城镇居民增收渠道。</w:t>
      </w:r>
      <w:r>
        <w:rPr>
          <w:rFonts w:hint="eastAsia" w:ascii="仿宋_GB2312" w:hAnsi="仿宋_GB2312" w:eastAsia="仿宋_GB2312" w:cs="仿宋_GB2312"/>
        </w:rPr>
        <w:t>健全科学的工资水平决定机制、正常增长机制、支付保障机制，完善最低工资增长机制，突出做好中低收入者和困难家庭增收工作。深化企业工资分配制度改革，健全企业公众分配宏观指导调控体系，完善国有企业负责人薪酬制度，促进企业职工工资合理增长。以非公有制企业、中小微企业为重点，积极稳妥推进工资集体协商。建立健全治理欠薪工作机制，完善工资指导线制度，适时适度调整最低工资标准。深化机关事业单位社会保障制度、工资制度改革，健全完善机关事业单位工资水平正常调整机制。落实机关公务员职务职级并行制度和乡镇工作补贴。</w:t>
      </w:r>
    </w:p>
    <w:p>
      <w:pPr>
        <w:pStyle w:val="5"/>
        <w:jc w:val="center"/>
        <w:rPr>
          <w:rFonts w:ascii="仿宋_GB2312" w:hAnsi="仿宋_GB2312" w:eastAsia="仿宋_GB2312" w:cs="仿宋_GB2312"/>
          <w:b/>
          <w:bCs/>
          <w:sz w:val="32"/>
          <w:szCs w:val="32"/>
        </w:rPr>
      </w:pPr>
      <w:bookmarkStart w:id="250" w:name="_Toc14095"/>
      <w:bookmarkStart w:id="251" w:name="_Toc14738"/>
      <w:bookmarkStart w:id="252" w:name="_Toc16852"/>
      <w:bookmarkStart w:id="253" w:name="_Toc14084"/>
      <w:r>
        <w:rPr>
          <w:rFonts w:hint="eastAsia" w:ascii="仿宋_GB2312" w:hAnsi="仿宋_GB2312" w:eastAsia="仿宋_GB2312" w:cs="仿宋_GB2312"/>
          <w:b/>
          <w:bCs/>
          <w:sz w:val="32"/>
          <w:szCs w:val="32"/>
        </w:rPr>
        <w:t>第六节   促进人口均衡发展</w:t>
      </w:r>
      <w:bookmarkEnd w:id="250"/>
      <w:bookmarkEnd w:id="251"/>
      <w:bookmarkEnd w:id="252"/>
      <w:bookmarkEnd w:id="253"/>
    </w:p>
    <w:p>
      <w:pPr>
        <w:spacing w:before="156" w:after="156"/>
        <w:ind w:firstLine="562"/>
        <w:rPr>
          <w:rFonts w:ascii="仿宋_GB2312" w:hAnsi="仿宋_GB2312" w:eastAsia="仿宋_GB2312" w:cs="仿宋_GB2312"/>
        </w:rPr>
      </w:pPr>
      <w:r>
        <w:rPr>
          <w:rFonts w:hint="eastAsia" w:ascii="仿宋_GB2312" w:hAnsi="仿宋_GB2312" w:eastAsia="仿宋_GB2312" w:cs="仿宋_GB2312"/>
          <w:b/>
          <w:bCs/>
        </w:rPr>
        <w:t>落实国家人口发展战略。</w:t>
      </w:r>
      <w:r>
        <w:rPr>
          <w:rFonts w:hint="eastAsia" w:ascii="仿宋_GB2312" w:hAnsi="仿宋_GB2312" w:eastAsia="仿宋_GB2312" w:cs="仿宋_GB2312"/>
        </w:rPr>
        <w:t>提高人口出生素质、健康素质、教育水平，优化人口结构与分布，引导人口有序流动，促进人口长期均衡发展。做好优生优育工作，促进保健服务。提高生殖健康、妇幼保健、托幼等公共服务水平。健全特殊困难计划生育家庭的关怀和救助体系。健全特殊困难计划生育家庭的关怀扶助体系，提高家庭发展能力。加强人口信息库建设，推进政府部门间人口信息共享制度，及时发布人口预测、预警信息，构建科学的人口发展指标体系和人口动态监测评估机制。</w:t>
      </w:r>
    </w:p>
    <w:p>
      <w:pPr>
        <w:spacing w:before="156" w:after="156"/>
        <w:ind w:firstLine="562"/>
        <w:rPr>
          <w:rFonts w:ascii="仿宋_GB2312" w:hAnsi="仿宋_GB2312" w:eastAsia="仿宋_GB2312" w:cs="仿宋_GB2312"/>
        </w:rPr>
      </w:pPr>
      <w:r>
        <w:rPr>
          <w:rFonts w:hint="eastAsia" w:ascii="仿宋_GB2312" w:hAnsi="仿宋_GB2312" w:eastAsia="仿宋_GB2312" w:cs="仿宋_GB2312"/>
          <w:b/>
          <w:bCs/>
        </w:rPr>
        <w:t>保障妇女儿童基本权益。</w:t>
      </w:r>
      <w:r>
        <w:rPr>
          <w:rFonts w:hint="eastAsia" w:ascii="仿宋_GB2312" w:hAnsi="仿宋_GB2312" w:eastAsia="仿宋_GB2312" w:cs="仿宋_GB2312"/>
        </w:rPr>
        <w:t>优化妇女发展环境，依法打击侵害妇女权益的行为，保障妇女平等获得教育、就业、社会保障、婚姻财产和参与社会事务的权利。加强县、乡、村三级妇幼卫生服务网络建设。注重儿童成长早期干预，建立完善儿童监护监督制度，完善儿童法律援助和司法救助机制。落实孤儿、残疾儿童、家境困难儿童就学资助政策，保障经济落后乡镇的儿童、留守儿童的生存权和发展权益。贯彻未成年人保护法，强化未成年人权益保护，加强未成年人犯罪和违法青少年帮扶挽救工作，有效预防和减少青少年违法犯罪。</w:t>
      </w:r>
    </w:p>
    <w:p>
      <w:pPr>
        <w:pStyle w:val="5"/>
        <w:jc w:val="center"/>
        <w:rPr>
          <w:rFonts w:ascii="仿宋_GB2312" w:hAnsi="仿宋_GB2312" w:eastAsia="仿宋_GB2312" w:cs="仿宋_GB2312"/>
          <w:b/>
          <w:bCs/>
          <w:sz w:val="32"/>
          <w:szCs w:val="32"/>
        </w:rPr>
      </w:pPr>
      <w:bookmarkStart w:id="254" w:name="_Toc4448"/>
      <w:bookmarkStart w:id="255" w:name="_Toc2765"/>
      <w:bookmarkStart w:id="256" w:name="_Toc32116"/>
      <w:r>
        <w:rPr>
          <w:rFonts w:hint="eastAsia" w:ascii="仿宋_GB2312" w:hAnsi="仿宋_GB2312" w:eastAsia="仿宋_GB2312" w:cs="仿宋_GB2312"/>
          <w:b/>
          <w:bCs/>
          <w:sz w:val="32"/>
          <w:szCs w:val="32"/>
        </w:rPr>
        <w:t>第七节   加强安全能力建设</w:t>
      </w:r>
      <w:bookmarkEnd w:id="254"/>
      <w:bookmarkEnd w:id="255"/>
      <w:bookmarkEnd w:id="256"/>
    </w:p>
    <w:p>
      <w:pPr>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健全公共安全保障体系。</w:t>
      </w:r>
      <w:r>
        <w:rPr>
          <w:rFonts w:hint="eastAsia" w:ascii="仿宋_GB2312" w:hAnsi="仿宋_GB2312" w:eastAsia="仿宋_GB2312" w:cs="仿宋_GB2312"/>
        </w:rPr>
        <w:t>健全完善食品药品安全监管体系，强化政府食品药品安全监管责任，落实食品药品企业主体责任，提升食品药品监管能力，健全食品药品原产地可追溯制度和质量标识制度，实现从生产源头到终端消费的全程严格监管，确保人民群众饮食安全、用药安全。支持消费维权，营造安全放心地消费环境。完善各类公共安全事故和自然灾害的救灾应急动员机制，形成统一指挥、功能齐全、反应灵敏、运转高效应急机制。认真做好防震减灾工作，积极推进地震监测预报体系的建设。大力推广普及防灾文化，加强减灾示范社区建设，定期开展避灾救灾演练，强化应急救援队伍和训练基地建设，建设标准规范、安全实用的应急避难场所，全面提升防灾减灾救灾能力。认真做好消防工作，加快城市消防设施建设，切实加强火灾隐患排查整治，及时消除火灾隐患。</w:t>
      </w:r>
    </w:p>
    <w:p>
      <w:pPr>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增强安全生产保障能力。</w:t>
      </w:r>
      <w:r>
        <w:rPr>
          <w:rFonts w:hint="eastAsia" w:ascii="仿宋_GB2312" w:hAnsi="仿宋_GB2312" w:eastAsia="仿宋_GB2312" w:cs="仿宋_GB2312"/>
        </w:rPr>
        <w:t>全面加强安全生产，牢固树立安全发展理念，牢牢掌握安全生产工作主动权。坚持“党政同责、一岗双责、齐抓共管、失职追责”，落实好安全生产体制机制，以政府监管责任的落实推动企业主体责任的落实。加快建设安全生产监督综合信息平台，强化安全生产风险防控。严厉打击非法违法行为，继续加强安全生产大检查活动，强化白酒企业、煤矿、道路交通、非煤矿山和尾矿库、危险化学品、校园、公共活动人员密集场所以及建筑施工、油气管道、城市燃气、特种设备等重点行业领域安全隐患排查整治，始终保持安全生产的高压态势，坚决遏制重特大事故发生。严格履行企业安全生产法定责任和义务，扎实推进企业安全标准化建设和全员安全培训，切实做到安全生产责任到位、投入到位、培训到位、基础管理到位和应急救援到位。积极改善监管监察执法工作条件，强化执法装备建设，加强应急救援能力建设，健全预防治本的隐患排查治理体系，提升安全生产科技支撑水平，构建安全监管长效机制。强化安全红线意识，积极推进安全生产宣传教育，加强从业人员特别是高危行业从业人员安全培训，提高员工素质和全社会安全意识，营造安全氛围，夯实安全生产基础。强化考核问责，严格落实安全生产目标责任考核“一票否决制”，严肃查处事故，严格追究责任，坚决遏制重特大事故、减少一般性事故，不断向持续稳定好转的目标迈进。</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专栏24：应急安全项目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习水县寨坝镇防汛抗旱救灾能力建设工程、习水县应急物资储备库建设项目、习水县公共卫生应急指挥管理中心建设项目。</w:t>
            </w:r>
          </w:p>
        </w:tc>
      </w:tr>
    </w:tbl>
    <w:p>
      <w:pPr>
        <w:pStyle w:val="5"/>
        <w:jc w:val="center"/>
        <w:rPr>
          <w:rFonts w:ascii="仿宋" w:hAnsi="仿宋" w:eastAsia="仿宋" w:cs="仿宋"/>
          <w:b/>
          <w:bCs/>
          <w:sz w:val="32"/>
          <w:szCs w:val="32"/>
        </w:rPr>
      </w:pPr>
      <w:bookmarkStart w:id="257" w:name="_Toc15579"/>
      <w:bookmarkStart w:id="258" w:name="_Toc1444"/>
      <w:bookmarkStart w:id="259" w:name="_Toc23510"/>
      <w:r>
        <w:rPr>
          <w:rFonts w:hint="eastAsia" w:ascii="仿宋" w:hAnsi="仿宋" w:eastAsia="仿宋" w:cs="仿宋"/>
          <w:b/>
          <w:bCs/>
          <w:sz w:val="32"/>
          <w:szCs w:val="32"/>
        </w:rPr>
        <w:t>第八节   维护社会安全稳定</w:t>
      </w:r>
      <w:bookmarkEnd w:id="257"/>
      <w:bookmarkEnd w:id="258"/>
      <w:bookmarkEnd w:id="259"/>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大力推广“枫桥经验”提高基层治理效率。</w:t>
      </w:r>
      <w:r>
        <w:rPr>
          <w:rFonts w:hint="eastAsia" w:ascii="仿宋_GB2312" w:hAnsi="仿宋_GB2312" w:eastAsia="仿宋_GB2312" w:cs="仿宋_GB2312"/>
        </w:rPr>
        <w:t>坚持和发展“枫桥经验”，以改革创新为动力，把自治、法治、德治作为根本方式，努力构建基层社会善治新体系；把预测、预警、预防作为根本任务，努力打造矛盾风险防控新模式；把基层基础建设作为根本支撑，努力激发基层社会治理新动能。把党的领导作为根本保证，推动健全党委领导、政府负责、社会协同、公众参与、法治保障的基层社会治理体制，凝聚起基层社会治理的强大合力；把“以人民为中心”作为根本立场，努力满足人民群众美好生活新需要，让城乡群众成为基层社会治理的最大受益者、最广参与者、最终评判者。</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拓展和完善群众参与基层社会治理的制度化渠道。</w:t>
      </w:r>
      <w:r>
        <w:rPr>
          <w:rFonts w:hint="eastAsia" w:ascii="仿宋_GB2312" w:hAnsi="仿宋_GB2312" w:eastAsia="仿宋_GB2312" w:cs="仿宋_GB2312"/>
        </w:rPr>
        <w:t>深入开展以居民会议、议事协商、民主听证等为主要形式的民主决策实践，以自我管理、自我服务、自我教育、自我监督等为主要目的的民主治理实践，以村务公开、居务公开、民主评议等为主要内容的民主监督实践，让群众成为基层社会治理的参与者、受益者，全面推进基层群众自治制度化、规范化、程序化。引导人民群众依法行使民主权利，做到群众利益延伸到哪里，基层群众自治制度就覆盖到哪里。健全社区管理和服务机制，推行网格化管理和服务，发挥群团组织、社会组织作用，发挥行业协会商会自律功能，实现政府治理和社会调节、居民自治良性互动，夯实基层社会治理基础。</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大力推进法治习水建设。</w:t>
      </w:r>
      <w:r>
        <w:rPr>
          <w:rFonts w:hint="eastAsia" w:ascii="仿宋_GB2312" w:hAnsi="仿宋_GB2312" w:eastAsia="仿宋_GB2312" w:cs="仿宋_GB2312"/>
        </w:rPr>
        <w:t>加强法治政府建设。坚持依法设定权力、行使权力、制约权力、监督权力，依法调控和治理经济，推行综合执法，实现政府活动全面纳入法治轨道。完善审计制度，保障依法独立行使审计监督权。加快法治社会建设。深化司法体制改革，加强政法队伍建设，促进司法公正。加快建设法治社会，深入开展法制宣传教育，加大农村普法教育，弘扬社会主义法治精神，增强全社会特别是公职人员尊法学法守法用法观念，在全社会形成良好法治氛围和法治习惯。</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切实做好信访稳定工作。</w:t>
      </w:r>
      <w:r>
        <w:rPr>
          <w:rFonts w:hint="eastAsia" w:ascii="仿宋_GB2312" w:hAnsi="仿宋_GB2312" w:eastAsia="仿宋_GB2312" w:cs="仿宋_GB2312"/>
        </w:rPr>
        <w:t>加强法治信访建设，提高信访服务能力和水平。进一步完善领导接访、部门接访、阳光接访、依法接访、制度接访等措施办法。深入开展群众身边腐败信访问题专项治理，强化责任，扭住难点，化解积案，及时回应群众诉求，切实做到“诉求合理地解决问题到位、诉求无理的思想教育到位、生活困难的帮扶救助到位、行为违法的依法处理”。健全依法维权和化解纠纷机制，严格实行诉讼与信访分离，把涉法涉诉信访纳入法治轨道解决。进一步建立完善县、镇、村信访服务体系，畅通接访窗口，加强网上接访，优化联合接访运行方式。进一步完善群众利益表达、利益协调、利益保护机制，不断提高信访服务的工作效率。进一步健全社会力量参与信访工作体制机制，进一步完善源头预防排查，在落小、落细、落实上下功夫。</w:t>
      </w:r>
    </w:p>
    <w:p>
      <w:pPr>
        <w:keepNext w:val="0"/>
        <w:keepLines w:val="0"/>
        <w:pageBreakBefore w:val="0"/>
        <w:widowControl w:val="0"/>
        <w:kinsoku/>
        <w:wordWrap/>
        <w:overflowPunct/>
        <w:topLinePunct w:val="0"/>
        <w:autoSpaceDE/>
        <w:autoSpaceDN/>
        <w:bidi w:val="0"/>
        <w:adjustRightInd/>
        <w:snapToGrid/>
        <w:spacing w:line="54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全面深化平安习水建设。</w:t>
      </w:r>
      <w:r>
        <w:rPr>
          <w:rFonts w:hint="eastAsia" w:ascii="仿宋_GB2312" w:hAnsi="仿宋_GB2312" w:eastAsia="仿宋_GB2312" w:cs="仿宋_GB2312"/>
        </w:rPr>
        <w:t>加强社会治安综合治理，运用“互联网+”和云计算技术，大力推进公共安全视频监控建设联网应用，建立健全社会治安防控网，夯实基层社会治安防控基础，推进打防管控一体化、网上网下一体化，保障人民群众生命财产安全，提升人民群众安全感和满意度。加大维稳反恐力度，防范和处置突发事件，防止发生暴力恐怖事件。深入开展“扫黑除恶”等专项斗争，大力打击各类违法犯罪。集中整治影响治安稳定的突出问题，消除社会隐患。全面加强各类特殊人群服务管理，最大限度减少社会不和谐因素。建立科学系统的平安创建工作体系，扎实开展基层平安系列创建活动。完善基层社会管理体系，发挥政府主导作用，鼓励和支持社会各方面参与，全面推进网格化管理、社会化服务，构建全民共建共享的社会治理格局。加强网络“虚拟社会”管理，规范网络传播秩序。健全重大矛盾预警和应急处置机制，建立畅通有序的诉求表达、心理干预、矛盾调处、权益保障机制，使社会矛盾和问题得到及时化解。健全完善调解、仲裁、行政裁决和复议、诉讼等多元化纠纷解决机制，有效预防和化解社会矛盾。健全禁毒工作领导体制机制，强化禁毒工作网格化管理。持续不断开展禁毒专项行动，以“零容忍”的态度，始终保持严打毒品犯罪的高压态势。深入开展禁毒宣传教育，加强社区戒毒康复。</w:t>
      </w: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260" w:name="_Toc19450"/>
      <w:bookmarkStart w:id="261" w:name="_Toc15037"/>
      <w:bookmarkStart w:id="262" w:name="_Toc5635"/>
      <w:bookmarkStart w:id="263" w:name="_Toc30792"/>
      <w:r>
        <w:rPr>
          <w:rFonts w:hint="eastAsia" w:ascii="方正小标宋简体" w:hAnsi="方正小标宋简体" w:eastAsia="方正小标宋简体" w:cs="方正小标宋简体"/>
          <w:b w:val="0"/>
          <w:bCs/>
          <w:sz w:val="32"/>
          <w:szCs w:val="32"/>
        </w:rPr>
        <w:t>第十二章    积极推动人才兴政，着力打造人才高地</w:t>
      </w:r>
      <w:bookmarkEnd w:id="260"/>
      <w:bookmarkEnd w:id="261"/>
      <w:bookmarkEnd w:id="262"/>
      <w:bookmarkEnd w:id="263"/>
    </w:p>
    <w:p>
      <w:pPr>
        <w:ind w:firstLine="560"/>
        <w:rPr>
          <w:rFonts w:ascii="仿宋_GB2312" w:hAnsi="仿宋_GB2312" w:eastAsia="仿宋_GB2312" w:cs="仿宋_GB2312"/>
        </w:rPr>
      </w:pPr>
      <w:r>
        <w:rPr>
          <w:rFonts w:hint="eastAsia" w:ascii="仿宋_GB2312" w:hAnsi="仿宋_GB2312" w:eastAsia="仿宋_GB2312" w:cs="仿宋_GB2312"/>
        </w:rPr>
        <w:t>高度重视人才对经济社会发展的重要作用，实施人才强县战略，积极培育白酒企业学术带头人、专家型人才，旅游业和乡村振兴所需的专业人才，持续引进高层次人才，为习水经济社会发展提供人才支撑。</w:t>
      </w:r>
    </w:p>
    <w:p>
      <w:pPr>
        <w:pStyle w:val="5"/>
        <w:jc w:val="center"/>
        <w:rPr>
          <w:rFonts w:ascii="仿宋_GB2312" w:hAnsi="仿宋_GB2312" w:eastAsia="仿宋_GB2312" w:cs="仿宋_GB2312"/>
          <w:b/>
          <w:bCs/>
          <w:sz w:val="32"/>
          <w:szCs w:val="32"/>
        </w:rPr>
      </w:pPr>
      <w:bookmarkStart w:id="264" w:name="_Toc17005"/>
      <w:bookmarkStart w:id="265" w:name="_Toc3335"/>
      <w:bookmarkStart w:id="266" w:name="_Toc14816"/>
      <w:r>
        <w:rPr>
          <w:rFonts w:hint="eastAsia" w:ascii="仿宋_GB2312" w:hAnsi="仿宋_GB2312" w:eastAsia="仿宋_GB2312" w:cs="仿宋_GB2312"/>
          <w:b/>
          <w:bCs/>
          <w:sz w:val="32"/>
          <w:szCs w:val="32"/>
        </w:rPr>
        <w:t>第一节   重视白酒企业人才培养</w:t>
      </w:r>
      <w:bookmarkEnd w:id="264"/>
      <w:bookmarkEnd w:id="265"/>
      <w:bookmarkEnd w:id="266"/>
    </w:p>
    <w:p>
      <w:pPr>
        <w:widowControl/>
        <w:ind w:firstLine="560"/>
        <w:rPr>
          <w:rFonts w:ascii="仿宋_GB2312" w:hAnsi="仿宋_GB2312" w:eastAsia="仿宋_GB2312" w:cs="仿宋_GB2312"/>
        </w:rPr>
      </w:pPr>
      <w:r>
        <w:rPr>
          <w:rFonts w:hint="eastAsia" w:ascii="仿宋_GB2312" w:hAnsi="仿宋_GB2312" w:eastAsia="仿宋_GB2312" w:cs="仿宋_GB2312"/>
        </w:rPr>
        <w:t>实施人才强县战略，建立完善“好政策引才、好服务留才、好机制聚才”机制。加大创新创业人才队伍建设，充分发挥人才在全县创新驱动中的核心作用。结合酱香白酒产业发展需求，支持和引导白酒企业培养一批白酒酿造及产品研发领域的学科、学术带头人。积极申报中国酿酒大师,定期组织开展省级品酒师、酿酒师、大酱人、酱香工匠评选工作。支持和引导白酒企业培养一批白酒酿造及产品研发领域的学科、学术带头人。实施酒业专家人才培养计划，将地方白酒行业专家、优秀人才列入县管专家、县管人才项目，引导企业提高技术工人待遇。鼓励用工企业和培训机构对一线产业工人开展定向培训、订单培训。</w:t>
      </w:r>
    </w:p>
    <w:p>
      <w:pPr>
        <w:pStyle w:val="5"/>
        <w:jc w:val="center"/>
        <w:rPr>
          <w:rFonts w:ascii="仿宋_GB2312" w:hAnsi="仿宋_GB2312" w:eastAsia="仿宋_GB2312" w:cs="仿宋_GB2312"/>
          <w:b/>
          <w:bCs/>
          <w:sz w:val="32"/>
          <w:szCs w:val="32"/>
        </w:rPr>
      </w:pPr>
      <w:bookmarkStart w:id="267" w:name="_Toc8187"/>
      <w:bookmarkStart w:id="268" w:name="_Toc21860"/>
      <w:bookmarkStart w:id="269" w:name="_Toc12002"/>
      <w:r>
        <w:rPr>
          <w:rFonts w:hint="eastAsia" w:ascii="仿宋_GB2312" w:hAnsi="仿宋_GB2312" w:eastAsia="仿宋_GB2312" w:cs="仿宋_GB2312"/>
          <w:b/>
          <w:bCs/>
          <w:sz w:val="32"/>
          <w:szCs w:val="32"/>
        </w:rPr>
        <w:t>第二节   加强旅游和农业人才育引</w:t>
      </w:r>
      <w:bookmarkEnd w:id="267"/>
      <w:bookmarkEnd w:id="268"/>
      <w:bookmarkEnd w:id="269"/>
    </w:p>
    <w:p>
      <w:pPr>
        <w:widowControl/>
        <w:ind w:firstLine="560"/>
        <w:jc w:val="left"/>
        <w:rPr>
          <w:rFonts w:ascii="仿宋_GB2312" w:hAnsi="仿宋_GB2312" w:eastAsia="仿宋_GB2312" w:cs="仿宋_GB2312"/>
        </w:rPr>
      </w:pPr>
      <w:r>
        <w:rPr>
          <w:rFonts w:hint="eastAsia" w:ascii="仿宋_GB2312" w:hAnsi="仿宋_GB2312" w:eastAsia="仿宋_GB2312" w:cs="仿宋_GB2312"/>
        </w:rPr>
        <w:t>加强文旅复合型人才和景区管理等一线专业人才培养，为推动旅游产业高效优质发展提供人才保障。针对乡村振兴发展战略，大力充实一批职业农民队伍和村级组织领军人才。加强高素质、高技能人才培养，建立企业与国内外高校、科研院所及习水县中职学校等院校合作机制，为企业培育输送适用人才。</w:t>
      </w:r>
    </w:p>
    <w:p>
      <w:pPr>
        <w:pStyle w:val="5"/>
        <w:jc w:val="center"/>
        <w:rPr>
          <w:rFonts w:ascii="仿宋_GB2312" w:hAnsi="仿宋_GB2312" w:eastAsia="仿宋_GB2312" w:cs="仿宋_GB2312"/>
          <w:b/>
          <w:bCs/>
          <w:sz w:val="32"/>
          <w:szCs w:val="32"/>
        </w:rPr>
      </w:pPr>
      <w:bookmarkStart w:id="270" w:name="_Toc19690"/>
      <w:bookmarkStart w:id="271" w:name="_Toc17071"/>
      <w:bookmarkStart w:id="272" w:name="_Toc6528"/>
      <w:r>
        <w:rPr>
          <w:rFonts w:hint="eastAsia" w:ascii="仿宋_GB2312" w:hAnsi="仿宋_GB2312" w:eastAsia="仿宋_GB2312" w:cs="仿宋_GB2312"/>
          <w:b/>
          <w:bCs/>
          <w:sz w:val="32"/>
          <w:szCs w:val="32"/>
        </w:rPr>
        <w:t>第三节   强化高级人才引进</w:t>
      </w:r>
      <w:bookmarkEnd w:id="270"/>
      <w:bookmarkEnd w:id="271"/>
      <w:bookmarkEnd w:id="272"/>
    </w:p>
    <w:p>
      <w:pPr>
        <w:widowControl/>
        <w:ind w:firstLine="560"/>
        <w:rPr>
          <w:rFonts w:ascii="仿宋_GB2312" w:hAnsi="仿宋_GB2312" w:eastAsia="仿宋_GB2312" w:cs="仿宋_GB2312"/>
          <w:lang w:bidi="ar"/>
        </w:rPr>
      </w:pPr>
      <w:r>
        <w:rPr>
          <w:rFonts w:hint="eastAsia" w:ascii="仿宋_GB2312" w:hAnsi="仿宋_GB2312" w:eastAsia="仿宋_GB2312" w:cs="仿宋_GB2312"/>
          <w:bCs/>
        </w:rPr>
        <w:t>持续加大高层次人才引进力度，构建畅通有序的人才流动机制，优化科技人才项目支持结构和总体布局。开展县级优秀科技人才、实际创新人才团队培养遴选。强化对带项目、带成果在习水创新创业的科技人员支持。积极探索建立吸引顶尖科学家、团队的有效机制。实施知识更新工程、技能提升行动，聚焦农业、教育、医疗等领域，大力培养创新型、应用型、技能型人才。建立以创新能力、质量、实效、贡献为导向的科技人才评价，激发人才创新活力。</w:t>
      </w: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273" w:name="_Toc16074"/>
      <w:bookmarkStart w:id="274" w:name="_Toc11486"/>
      <w:bookmarkStart w:id="275" w:name="_Toc8982"/>
      <w:bookmarkStart w:id="276" w:name="_Toc1698"/>
      <w:r>
        <w:rPr>
          <w:rFonts w:hint="eastAsia" w:ascii="方正小标宋简体" w:hAnsi="方正小标宋简体" w:eastAsia="方正小标宋简体" w:cs="方正小标宋简体"/>
          <w:b w:val="0"/>
          <w:bCs/>
          <w:sz w:val="32"/>
          <w:szCs w:val="32"/>
        </w:rPr>
        <w:t>第十三章   积极优化营商环境，服务习水高质量发展</w:t>
      </w:r>
      <w:bookmarkEnd w:id="273"/>
      <w:bookmarkEnd w:id="274"/>
      <w:bookmarkEnd w:id="275"/>
      <w:bookmarkEnd w:id="276"/>
    </w:p>
    <w:p>
      <w:pPr>
        <w:pStyle w:val="8"/>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以实现经济社会高质量发展为统领，深化“放管服”改革，加强社会信用体系建设，创新外商投资管理体制，着力消除民营企业发展隐性壁垒，进一步优化发展环境，营造习水良好的发展空间。</w:t>
      </w:r>
    </w:p>
    <w:p>
      <w:pPr>
        <w:pStyle w:val="5"/>
        <w:jc w:val="center"/>
        <w:rPr>
          <w:rFonts w:ascii="仿宋_GB2312" w:hAnsi="仿宋_GB2312" w:eastAsia="仿宋_GB2312" w:cs="仿宋_GB2312"/>
          <w:b/>
          <w:bCs/>
          <w:sz w:val="32"/>
          <w:szCs w:val="32"/>
        </w:rPr>
      </w:pPr>
      <w:bookmarkStart w:id="277" w:name="_Toc23198"/>
      <w:bookmarkStart w:id="278" w:name="_Toc25263"/>
      <w:bookmarkStart w:id="279" w:name="_Toc2187"/>
      <w:r>
        <w:rPr>
          <w:rFonts w:hint="eastAsia" w:ascii="仿宋_GB2312" w:hAnsi="仿宋_GB2312" w:eastAsia="仿宋_GB2312" w:cs="仿宋_GB2312"/>
          <w:b/>
          <w:bCs/>
          <w:sz w:val="32"/>
          <w:szCs w:val="32"/>
        </w:rPr>
        <w:t>第一节   优化发展软环境</w:t>
      </w:r>
      <w:bookmarkEnd w:id="277"/>
      <w:bookmarkEnd w:id="278"/>
      <w:bookmarkEnd w:id="279"/>
    </w:p>
    <w:p>
      <w:pPr>
        <w:ind w:firstLine="560"/>
        <w:rPr>
          <w:rFonts w:ascii="仿宋_GB2312" w:hAnsi="仿宋_GB2312" w:eastAsia="仿宋_GB2312" w:cs="仿宋_GB2312"/>
        </w:rPr>
      </w:pPr>
      <w:r>
        <w:rPr>
          <w:rFonts w:hint="eastAsia" w:ascii="仿宋_GB2312" w:hAnsi="仿宋_GB2312" w:eastAsia="仿宋_GB2312" w:cs="仿宋_GB2312"/>
        </w:rPr>
        <w:t>对标全国一流、全省最优，建设亲商安商富商的营商环境高地。深化“放管服”改革，全面压缩审批事项、审批时限，提升综合性政务服务大厅“一窗式”“一站式”功能。加大金融服务支持力度，强化要素供给保障。加强社会信用体系建设，建设诚信社会。深化“双随机、一公开”跨部门联合监管，建立企业合法权益补偿救济机制，构建亲清新型政商关系。充分发挥市场对资源配置的决定作用，真正形成以企业为主体、市场为导向的市场体制。加快以道德为支撑、法律为保障的社会信用建设，营造公平竞争、诚实守信、稳定有序的现代市场环境。建立重大项目跟踪服务制度，形成阳光规范、便捷高效地服务环境。建设互利互惠、共赢发展的人文环境。</w:t>
      </w:r>
    </w:p>
    <w:p>
      <w:pPr>
        <w:pStyle w:val="5"/>
        <w:jc w:val="center"/>
        <w:rPr>
          <w:rFonts w:ascii="仿宋_GB2312" w:hAnsi="仿宋_GB2312" w:eastAsia="仿宋_GB2312" w:cs="仿宋_GB2312"/>
          <w:b/>
          <w:bCs/>
          <w:sz w:val="32"/>
          <w:szCs w:val="32"/>
        </w:rPr>
      </w:pPr>
      <w:bookmarkStart w:id="280" w:name="_Toc21889"/>
      <w:bookmarkStart w:id="281" w:name="_Toc21298"/>
      <w:bookmarkStart w:id="282" w:name="_Toc12830"/>
      <w:r>
        <w:rPr>
          <w:rFonts w:hint="eastAsia" w:ascii="仿宋_GB2312" w:hAnsi="仿宋_GB2312" w:eastAsia="仿宋_GB2312" w:cs="仿宋_GB2312"/>
          <w:b/>
          <w:bCs/>
          <w:sz w:val="32"/>
          <w:szCs w:val="32"/>
        </w:rPr>
        <w:t>第二节   创新外商投资管理体制</w:t>
      </w:r>
      <w:bookmarkEnd w:id="280"/>
      <w:bookmarkEnd w:id="281"/>
      <w:bookmarkEnd w:id="282"/>
    </w:p>
    <w:p>
      <w:pPr>
        <w:ind w:firstLine="560"/>
        <w:rPr>
          <w:rFonts w:ascii="仿宋_GB2312" w:hAnsi="仿宋_GB2312" w:eastAsia="仿宋_GB2312" w:cs="仿宋_GB2312"/>
        </w:rPr>
      </w:pPr>
      <w:r>
        <w:rPr>
          <w:rFonts w:hint="eastAsia" w:ascii="仿宋_GB2312" w:hAnsi="仿宋_GB2312" w:eastAsia="仿宋_GB2312" w:cs="仿宋_GB2312"/>
        </w:rPr>
        <w:t>放宽准入限制，严格执行外商投资项目普遍备案和有限核准制度，密切跟踪并探索准入前国民待遇加负面清单的外商投资管理模式，加快建立外商投资企业全程服务工作机制，探索建立外商投资企业全周期监管服务体系，进一步建立和完善在投资、贸易、金融和服务开放中事前协调、事中服务、事后监管的体制机制，积极有效引进外部项目、资金、技术、人才和管理。</w:t>
      </w:r>
    </w:p>
    <w:p>
      <w:pPr>
        <w:pStyle w:val="5"/>
        <w:jc w:val="center"/>
        <w:rPr>
          <w:rFonts w:ascii="仿宋_GB2312" w:hAnsi="仿宋_GB2312" w:eastAsia="仿宋_GB2312" w:cs="仿宋_GB2312"/>
          <w:b/>
          <w:bCs/>
          <w:sz w:val="32"/>
          <w:szCs w:val="32"/>
        </w:rPr>
      </w:pPr>
      <w:bookmarkStart w:id="283" w:name="_Toc30664"/>
      <w:bookmarkStart w:id="284" w:name="_Toc668"/>
      <w:bookmarkStart w:id="285" w:name="_Toc23401"/>
      <w:r>
        <w:rPr>
          <w:rFonts w:hint="eastAsia" w:ascii="仿宋_GB2312" w:hAnsi="仿宋_GB2312" w:eastAsia="仿宋_GB2312" w:cs="仿宋_GB2312"/>
          <w:b/>
          <w:bCs/>
          <w:sz w:val="32"/>
          <w:szCs w:val="32"/>
        </w:rPr>
        <w:t>第三节   服务民营经济发展</w:t>
      </w:r>
      <w:bookmarkEnd w:id="283"/>
      <w:bookmarkEnd w:id="284"/>
      <w:bookmarkEnd w:id="285"/>
    </w:p>
    <w:p>
      <w:pPr>
        <w:ind w:firstLine="560"/>
        <w:rPr>
          <w:rFonts w:ascii="仿宋_GB2312" w:hAnsi="仿宋_GB2312" w:eastAsia="仿宋_GB2312" w:cs="仿宋_GB2312"/>
          <w:bCs/>
        </w:rPr>
      </w:pPr>
      <w:r>
        <w:rPr>
          <w:rFonts w:hint="eastAsia" w:ascii="仿宋_GB2312" w:hAnsi="仿宋_GB2312" w:eastAsia="仿宋_GB2312" w:cs="仿宋_GB2312"/>
          <w:bCs/>
        </w:rPr>
        <w:t>加快垄断性行业改革，着力消除民营企业发展隐性壁垒，为民营经济健康发展营造公平待遇环境。完善中小企业服务体系建设，提供全面综合优质的企业服务。有效推动民间投资。进一步放宽市场准入、破除隐性障碍，降低民间资本进入基础设施、社会事业等重点领域的门槛，营造公平竞争市场环境。</w:t>
      </w:r>
    </w:p>
    <w:p>
      <w:pPr>
        <w:pStyle w:val="5"/>
        <w:jc w:val="center"/>
        <w:rPr>
          <w:rFonts w:ascii="仿宋_GB2312" w:hAnsi="仿宋_GB2312" w:eastAsia="仿宋_GB2312" w:cs="仿宋_GB2312"/>
          <w:b/>
          <w:bCs/>
          <w:sz w:val="32"/>
          <w:szCs w:val="32"/>
        </w:rPr>
      </w:pPr>
      <w:bookmarkStart w:id="286" w:name="_Toc23363"/>
      <w:bookmarkStart w:id="287" w:name="_Toc25480"/>
      <w:bookmarkStart w:id="288" w:name="_Toc32243"/>
      <w:r>
        <w:rPr>
          <w:rFonts w:hint="eastAsia" w:ascii="仿宋_GB2312" w:hAnsi="仿宋_GB2312" w:eastAsia="仿宋_GB2312" w:cs="仿宋_GB2312"/>
          <w:b/>
          <w:bCs/>
          <w:sz w:val="32"/>
          <w:szCs w:val="32"/>
        </w:rPr>
        <w:t>第四节   营造良好消费环境</w:t>
      </w:r>
      <w:bookmarkEnd w:id="286"/>
      <w:bookmarkEnd w:id="287"/>
      <w:bookmarkEnd w:id="288"/>
    </w:p>
    <w:p>
      <w:pPr>
        <w:widowControl/>
        <w:ind w:firstLine="560"/>
        <w:jc w:val="left"/>
        <w:rPr>
          <w:rFonts w:ascii="仿宋_GB2312" w:hAnsi="仿宋_GB2312" w:eastAsia="仿宋_GB2312" w:cs="仿宋_GB2312"/>
          <w:bCs/>
        </w:rPr>
      </w:pPr>
      <w:r>
        <w:rPr>
          <w:rFonts w:hint="eastAsia" w:ascii="仿宋_GB2312" w:hAnsi="仿宋_GB2312" w:eastAsia="仿宋_GB2312" w:cs="仿宋_GB2312"/>
          <w:bCs/>
        </w:rPr>
        <w:t>加快集镇购物中心、便利店、电商服务站等农村流通基础设施建设，菅造良好的消费环境；加强农产品产销对接,拓展农产品销售渠道，增加农民收入，提高购买力。深入开展“诚信兴商宣传月”“信用消费主题日”等活动，鼓励企业诚信发展，严厉打击销售假冒伪劣商品、商业欺诈等各类违法违规行为，维护良好的市场秩序和交易环境，提振消费信心，促进安全消费。</w:t>
      </w: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289" w:name="_Toc2188"/>
      <w:bookmarkStart w:id="290" w:name="_Toc19337"/>
      <w:bookmarkStart w:id="291" w:name="_Toc23418"/>
      <w:r>
        <w:rPr>
          <w:rFonts w:hint="eastAsia" w:ascii="方正小标宋简体" w:hAnsi="方正小标宋简体" w:eastAsia="方正小标宋简体" w:cs="方正小标宋简体"/>
          <w:b w:val="0"/>
          <w:bCs/>
          <w:sz w:val="32"/>
          <w:szCs w:val="32"/>
        </w:rPr>
        <w:t>第十四章    加强基础设施建设，着力夯实发展支撑</w:t>
      </w:r>
      <w:bookmarkEnd w:id="289"/>
      <w:bookmarkEnd w:id="290"/>
      <w:bookmarkEnd w:id="291"/>
    </w:p>
    <w:p>
      <w:pPr>
        <w:spacing w:before="156" w:after="156"/>
        <w:ind w:firstLine="560"/>
        <w:rPr>
          <w:rFonts w:ascii="仿宋_GB2312" w:hAnsi="仿宋_GB2312" w:eastAsia="仿宋_GB2312" w:cs="仿宋_GB2312"/>
        </w:rPr>
      </w:pPr>
      <w:r>
        <w:rPr>
          <w:rFonts w:hint="eastAsia" w:ascii="仿宋_GB2312" w:hAnsi="仿宋_GB2312" w:eastAsia="仿宋_GB2312" w:cs="仿宋_GB2312"/>
        </w:rPr>
        <w:t>以交通运输工程建设为重点，着力优化城区交通，提档升级乡镇交通，加强旅游交通建设，完善对外交通枢纽。逐步提升水电气管网和信息网络等基础设施现代化水平，为我县建设黔川渝结合部县域旅居中心提供有力支撑。</w:t>
      </w:r>
    </w:p>
    <w:p>
      <w:pPr>
        <w:pStyle w:val="5"/>
        <w:jc w:val="center"/>
        <w:rPr>
          <w:rFonts w:ascii="仿宋_GB2312" w:hAnsi="仿宋_GB2312" w:eastAsia="仿宋_GB2312" w:cs="仿宋_GB2312"/>
          <w:b/>
          <w:bCs/>
          <w:sz w:val="32"/>
          <w:szCs w:val="32"/>
        </w:rPr>
      </w:pPr>
      <w:bookmarkStart w:id="292" w:name="_Toc22318"/>
      <w:bookmarkStart w:id="293" w:name="_Toc26932"/>
      <w:bookmarkStart w:id="294" w:name="_Toc20955"/>
      <w:r>
        <w:rPr>
          <w:rFonts w:hint="eastAsia" w:ascii="仿宋_GB2312" w:hAnsi="仿宋_GB2312" w:eastAsia="仿宋_GB2312" w:cs="仿宋_GB2312"/>
          <w:b/>
          <w:bCs/>
          <w:sz w:val="32"/>
          <w:szCs w:val="32"/>
        </w:rPr>
        <w:t>第一节   推进交通运输工程建设</w:t>
      </w:r>
      <w:bookmarkEnd w:id="292"/>
      <w:bookmarkEnd w:id="293"/>
      <w:bookmarkEnd w:id="294"/>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优化提升城区交通。</w:t>
      </w:r>
      <w:r>
        <w:rPr>
          <w:rFonts w:hint="eastAsia" w:ascii="仿宋_GB2312" w:hAnsi="仿宋_GB2312" w:eastAsia="仿宋_GB2312" w:cs="仿宋_GB2312"/>
        </w:rPr>
        <w:t>全面推进城市交通优化升级专项行动，谋划建设城区南北走向市政道路，打通九龙横路小龙口段、九龙南路、井冈东路等断头路，逐步解决城区道路拥挤现象。建成投用县城—马临产城大道，推动马临同城化发展。逐步引导城市道路与外环路顺畅连接，提升城区道路通达性。积极推进县城至良村、温水、经开区的快速通道建设，提升城区与乡镇通行效率。</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提档升级乡镇交通。</w:t>
      </w:r>
      <w:r>
        <w:rPr>
          <w:rFonts w:hint="eastAsia" w:ascii="仿宋_GB2312" w:hAnsi="仿宋_GB2312" w:eastAsia="仿宋_GB2312" w:cs="仿宋_GB2312"/>
        </w:rPr>
        <w:t>持续贯彻贵州省“大交通”战略部署，全面提升习水县东南片区乡镇交通能力。重点优化双龙、二里、桃林、官店、永安、二郎、桑木等乡镇交通通道，优先对目前交通设施相对薄弱、乡镇主干道弯多路窄的交通要道进行扩建、改建。提升坭坝、仙源、民化、隆兴、程寨、三岔河、回龙等通乡镇公路等级改造，打造习水县沿赤水河、桐梓河流域白酒产业大道，助力白酒产业发展。积极推进我县太平至红旗公路改扩建工程、县乡公路路面改善提升改造工程、习水县美酒河特大桥工程和习水县千江寺大桥工程。持续推进我县农村公路交通安全生命防护工程。</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加强旅游交通建设。</w:t>
      </w:r>
      <w:r>
        <w:rPr>
          <w:rFonts w:hint="eastAsia" w:ascii="仿宋_GB2312" w:hAnsi="仿宋_GB2312" w:eastAsia="仿宋_GB2312" w:cs="仿宋_GB2312"/>
        </w:rPr>
        <w:t>围绕我县景区、乡村示范点，着力打通“主动脉”、疏通“小循环”。重点推进县城至鳛部园区、东风湖国家湿地公园、土城古镇、飞鸽国家森林公园等主要景区的干线公路建设和维护，确保通往3A级以上景区公路达到二级以上标准。规划建设县城至马皇坝隧道，启动马皇坝高端康养建设。协同推进东部旅游度假大通道建设，实现区域景区景点互联互通。逐步开通县城至鳛部园区、土城古镇、丹霞谷景区等精品景区客运专线和旅游环线、旅游观光巴士，构建“畅行无阻·深度旅游”的旅游交通体系。</w:t>
      </w:r>
    </w:p>
    <w:p>
      <w:pPr>
        <w:keepNext w:val="0"/>
        <w:keepLines w:val="0"/>
        <w:pageBreakBefore w:val="0"/>
        <w:widowControl w:val="0"/>
        <w:kinsoku/>
        <w:wordWrap/>
        <w:overflowPunct/>
        <w:topLinePunct w:val="0"/>
        <w:autoSpaceDE/>
        <w:autoSpaceDN/>
        <w:bidi w:val="0"/>
        <w:adjustRightInd/>
        <w:snapToGrid/>
        <w:spacing w:line="510" w:lineRule="exact"/>
        <w:ind w:firstLine="562"/>
        <w:textAlignment w:val="auto"/>
        <w:rPr>
          <w:rFonts w:ascii="仿宋_GB2312" w:hAnsi="仿宋_GB2312" w:eastAsia="仿宋_GB2312" w:cs="仿宋_GB2312"/>
        </w:rPr>
      </w:pPr>
      <w:r>
        <w:rPr>
          <w:rFonts w:hint="eastAsia" w:ascii="仿宋_GB2312" w:hAnsi="仿宋_GB2312" w:eastAsia="仿宋_GB2312" w:cs="仿宋_GB2312"/>
          <w:b/>
          <w:bCs/>
        </w:rPr>
        <w:t>完善对外交通枢纽。</w:t>
      </w:r>
      <w:r>
        <w:rPr>
          <w:rFonts w:hint="eastAsia" w:ascii="仿宋_GB2312" w:hAnsi="仿宋_GB2312" w:eastAsia="仿宋_GB2312" w:cs="仿宋_GB2312"/>
        </w:rPr>
        <w:t>抢抓省“交通强国”试点、“六网会战”机遇，谋划一批基础设施领域补短项目。加快民航运输机场建设，加强通用航空基础设施建设，创造有利于通用航空发展的良好环境，满足低成本航空公司业务发展需求，推动地方旅游发展。加快区域性铁路通道建设，推动新建泸州至遵义铁路，扩大路网覆盖面，完善综合运输体系。启动汇川（高坪）经桐梓（花秋）至合江（即仁赤高速复线）高速公路建设；启动江津经习水（温水）至桐梓（花秋）高速公路建设；由重庆规划的綦江安稳至习水温水高速，我县境内与重庆綦江区实施同步。推进我县境内三条国道G352张家界至巧家、G212兰州至龙邦、G546纳溪至习水的国土空间控制规划，以及四条省道S207三岔河至西凉，S208赤水至开阳、S303沿河至土城、S519羊蹬至温水的国土空间控制规划，力争部分国、省道在“十四五”期间建设。调整我县农村公路县乡道国土空间规划1650公里。</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专栏25：交通运输项目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abs>
                <w:tab w:val="left" w:pos="2840"/>
              </w:tabs>
              <w:spacing w:line="420" w:lineRule="exact"/>
              <w:ind w:firstLine="482"/>
              <w:rPr>
                <w:rFonts w:ascii="楷体_GB2312" w:hAnsi="楷体_GB2312" w:eastAsia="楷体_GB2312" w:cs="楷体_GB2312"/>
                <w:sz w:val="24"/>
                <w:szCs w:val="24"/>
                <w:lang w:bidi="ar"/>
              </w:rPr>
            </w:pPr>
            <w:r>
              <w:rPr>
                <w:rFonts w:hint="eastAsia" w:ascii="楷体_GB2312" w:hAnsi="楷体_GB2312" w:eastAsia="楷体_GB2312" w:cs="楷体_GB2312"/>
                <w:b/>
                <w:bCs/>
                <w:sz w:val="24"/>
                <w:szCs w:val="24"/>
                <w:lang w:bidi="ar"/>
              </w:rPr>
              <w:t>1、航空运输项目：</w:t>
            </w:r>
            <w:r>
              <w:rPr>
                <w:rFonts w:hint="eastAsia" w:ascii="楷体_GB2312" w:hAnsi="楷体_GB2312" w:eastAsia="楷体_GB2312" w:cs="楷体_GB2312"/>
                <w:sz w:val="24"/>
                <w:szCs w:val="24"/>
                <w:lang w:bidi="ar"/>
              </w:rPr>
              <w:t>习水县通用机场项目</w:t>
            </w:r>
          </w:p>
          <w:p>
            <w:pPr>
              <w:tabs>
                <w:tab w:val="left" w:pos="2840"/>
              </w:tabs>
              <w:spacing w:line="42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lang w:bidi="ar"/>
              </w:rPr>
              <w:t>2、道路交通项目：</w:t>
            </w:r>
            <w:r>
              <w:rPr>
                <w:rFonts w:hint="eastAsia" w:ascii="楷体_GB2312" w:hAnsi="楷体_GB2312" w:eastAsia="楷体_GB2312" w:cs="楷体_GB2312"/>
                <w:sz w:val="24"/>
                <w:szCs w:val="24"/>
                <w:lang w:bidi="ar"/>
              </w:rPr>
              <w:t>G212习水县草莲坝经土河至芭竹沟公路改扩建工程、G212习水县马临至习酒公路复线工程、G212温水至习水图书公路、G352习水县桃林至大水公路改扩建工程、G352习水县县城至土城公路改造工程、S207习水县狮子经三岔河至蒿枝笼公路工程、S303习水县大石至官店公路改扩建工程、S519习水县大石至仙源公路改扩建工程、习水县土城镇北环线公路工程、习水县美酒河特大桥、习水县千江寺大桥、习水县二里镇红工村木老塘至玉溪村皂角树公路改扩建项目、习水县二里镇红工至井坝公路改扩建项目、习水县二里镇玉溪村龙湾至杜家坝公路项目、习水县高桥至清溪沟旅游道路改扩建工程、习水县坭坝乡集镇大道道路工程、习水县仙源集镇环线公路建设项目、习水县寨丁公路提档升级工程、习水县凤凰桥至水井湾公路改扩建工程、X3XB习水县两路至坭坝公路工程、X3X8习水县程寨至九岩坝公路工程、X3X5习水县三元至沙溪公路工程、S303习水县二郎至永安公路工程、X3XD习水县马临至洞弯公路工程、X3XC习水县向阳至杉湾公路工程、X3XZ习水县土城至统一公路（土城至黔沿段）工程、X3X3习水县双垭子至黄金弯公路(双垭子至青杠坡段）工程、X3XP习水县土河至永安公路工程、X306习水县劳碌溪至石门坎公路工程、习水县红三公路改扩建工程、习水县三岔河村级公路改扩建工程、习水县三岔河镇丹霞谷景区左翼公路建设项目、习水县三岔河镇丹霞谷景区右翼公路建设项目、习水县三岔河镇三岔河镇天水池村红圈子旅游公路建设工程、习水县三岔河镇天水池村旅游公路建设工程项目、习水县太平至红旗公路改扩建工程、习水县习国文化园至独石溪旅游公路、习水县寨坝镇公路改扩建工程、习水县三岔河镇小康路改扩建工程、Y002习水县同民至铜灌口公路工程、X3X1习水县仙源至习酒公路(木广场至润楠段）工程、Y019习水县高粱坪至水洞坪公路工程、Y009习水县习酒至胜利公路工程、Y017习水县两岔河至楠木公路工程、Y026习水县三兴至二台子公路工程、Y011习水县茶林岗至和坪公路工程、Y021习水县隆兴至凤凰嘴公路工程、X3XN习水县黄泥垭至高桥河公路工程、Y008习水县小桥至芹菜沟公路工程、习水县寨坝镇花椒扶贫产业路项目、习水县县乡道改善提升工程、习水县马临街道客运站项目、綦江安稳至习水温水高速（习水段)、X3XV习水县良村梅溪至永安垭口公路工程、习水县二里镇集镇外环公路改扩建项目、习水县</w:t>
            </w:r>
            <w:r>
              <w:rPr>
                <w:rFonts w:hint="eastAsia" w:ascii="微软雅黑" w:hAnsi="微软雅黑" w:eastAsia="微软雅黑" w:cs="微软雅黑"/>
                <w:sz w:val="24"/>
                <w:szCs w:val="24"/>
                <w:lang w:bidi="ar"/>
              </w:rPr>
              <w:t>鳛</w:t>
            </w:r>
            <w:r>
              <w:rPr>
                <w:rFonts w:hint="eastAsia" w:ascii="楷体_GB2312" w:hAnsi="楷体_GB2312" w:eastAsia="楷体_GB2312" w:cs="楷体_GB2312"/>
                <w:sz w:val="24"/>
                <w:szCs w:val="24"/>
                <w:lang w:bidi="ar"/>
              </w:rPr>
              <w:t>创区至丁山坝区道路建设工程、习水县温水镇客运站建设项目。</w:t>
            </w:r>
          </w:p>
        </w:tc>
      </w:tr>
    </w:tbl>
    <w:p>
      <w:pPr>
        <w:pStyle w:val="5"/>
        <w:jc w:val="center"/>
        <w:rPr>
          <w:rFonts w:ascii="仿宋_GB2312" w:hAnsi="仿宋_GB2312" w:eastAsia="仿宋_GB2312" w:cs="仿宋_GB2312"/>
          <w:b/>
          <w:bCs/>
          <w:sz w:val="32"/>
          <w:szCs w:val="32"/>
        </w:rPr>
      </w:pPr>
      <w:bookmarkStart w:id="295" w:name="_Toc20041"/>
      <w:bookmarkStart w:id="296" w:name="_Toc3778"/>
      <w:bookmarkStart w:id="297" w:name="_Toc1431"/>
      <w:r>
        <w:rPr>
          <w:rFonts w:hint="eastAsia" w:ascii="仿宋_GB2312" w:hAnsi="仿宋_GB2312" w:eastAsia="仿宋_GB2312" w:cs="仿宋_GB2312"/>
          <w:b/>
          <w:bCs/>
          <w:sz w:val="32"/>
          <w:szCs w:val="32"/>
        </w:rPr>
        <w:t>第二节   完善水电气基础设施</w:t>
      </w:r>
      <w:bookmarkEnd w:id="295"/>
      <w:bookmarkEnd w:id="296"/>
      <w:bookmarkEnd w:id="297"/>
    </w:p>
    <w:p>
      <w:pPr>
        <w:spacing w:before="156" w:after="156"/>
        <w:ind w:firstLine="562"/>
        <w:rPr>
          <w:rFonts w:ascii="仿宋_GB2312" w:hAnsi="仿宋_GB2312" w:eastAsia="仿宋_GB2312" w:cs="仿宋_GB2312"/>
        </w:rPr>
      </w:pPr>
      <w:r>
        <w:rPr>
          <w:rFonts w:hint="eastAsia" w:ascii="仿宋_GB2312" w:hAnsi="仿宋_GB2312" w:eastAsia="仿宋_GB2312" w:cs="仿宋_GB2312"/>
          <w:b/>
          <w:bCs/>
        </w:rPr>
        <w:t>加强重点水利工程建设。</w:t>
      </w:r>
      <w:r>
        <w:rPr>
          <w:rFonts w:hint="eastAsia" w:ascii="仿宋_GB2312" w:hAnsi="仿宋_GB2312" w:eastAsia="仿宋_GB2312" w:cs="仿宋_GB2312"/>
        </w:rPr>
        <w:t>续建保丰水库、铜灌口水库、游龙溪水库、新田沟水库等四座水库，启动干溪沟水库、新田水库、大杉数水库、四方土水库等骨干水源工程前期准备工作。组织实施吼滩坝区、典足坝区水利工程，启动店子湾山塘、两岔河山塘工程建设，稳步推进中型灌区、小型水源、烟水配套等工程建设。积极向上争取农村饮水安全管护、小型水源工程建设资金。</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专栏26：水利工程项目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2"/>
              <w:rPr>
                <w:rFonts w:ascii="楷体_GB2312" w:hAnsi="楷体_GB2312" w:eastAsia="楷体_GB2312" w:cs="楷体_GB2312"/>
                <w:sz w:val="24"/>
                <w:szCs w:val="24"/>
                <w:lang w:bidi="ar"/>
              </w:rPr>
            </w:pPr>
            <w:r>
              <w:rPr>
                <w:rFonts w:hint="eastAsia" w:ascii="楷体_GB2312" w:hAnsi="楷体_GB2312" w:eastAsia="楷体_GB2312" w:cs="楷体_GB2312"/>
                <w:b/>
                <w:bCs/>
                <w:sz w:val="24"/>
                <w:szCs w:val="24"/>
                <w:lang w:bidi="ar"/>
              </w:rPr>
              <w:t>1、水库建设项目：</w:t>
            </w:r>
            <w:r>
              <w:rPr>
                <w:rFonts w:hint="eastAsia" w:ascii="楷体_GB2312" w:hAnsi="楷体_GB2312" w:eastAsia="楷体_GB2312" w:cs="楷体_GB2312"/>
                <w:sz w:val="24"/>
                <w:szCs w:val="24"/>
                <w:lang w:bidi="ar"/>
              </w:rPr>
              <w:t>习水县白水洞水库工程、习水县分水岭水库工程、习水县保丰水库工程、习水县仙源镇四方土水库工程、习水县新田沟水库工程、习水县仙源镇毛坪水库工程、习水县羊久水库工程、习水县仙源镇金山水库工程、习水县万家沟水库工程、习水县游龙溪水库工程、习水县东皇（新田）水库工程、习水县松林水库病险水库出险加固工程、习水县阳中岩水库工程、习水县向阳水库工程、习水县仙源水库工程、习水县小一型水库（打捆）、习水县小二型水库（打捆）、习水县小型水库维修养护工程、习水县病险水库除险加固工程。</w:t>
            </w:r>
          </w:p>
          <w:p>
            <w:pPr>
              <w:spacing w:line="440" w:lineRule="exact"/>
              <w:ind w:firstLine="482"/>
              <w:rPr>
                <w:rFonts w:ascii="楷体_GB2312" w:hAnsi="楷体_GB2312" w:eastAsia="楷体_GB2312" w:cs="楷体_GB2312"/>
                <w:sz w:val="24"/>
                <w:szCs w:val="24"/>
                <w:lang w:bidi="ar"/>
              </w:rPr>
            </w:pPr>
            <w:r>
              <w:rPr>
                <w:rFonts w:hint="eastAsia" w:ascii="楷体_GB2312" w:hAnsi="楷体_GB2312" w:eastAsia="楷体_GB2312" w:cs="楷体_GB2312"/>
                <w:b/>
                <w:bCs/>
                <w:sz w:val="24"/>
                <w:szCs w:val="24"/>
                <w:lang w:bidi="ar"/>
              </w:rPr>
              <w:t>2、水利配套项目：</w:t>
            </w:r>
            <w:r>
              <w:rPr>
                <w:rFonts w:hint="eastAsia" w:ascii="楷体_GB2312" w:hAnsi="楷体_GB2312" w:eastAsia="楷体_GB2312" w:cs="楷体_GB2312"/>
                <w:sz w:val="24"/>
                <w:szCs w:val="24"/>
                <w:lang w:bidi="ar"/>
              </w:rPr>
              <w:t>习水县保丰水库至经开区引调水工程、习水县回龙镇大毛沟至201酒厂应急供水工程、习水县铜灌口水库供水工程、习水县水系连通工程（引水）、习水县水系连通工程（提水）、习水县县城区应急补水工程、习水县小型灌区节水高效灌溉工程、习水县山塘新建工程、习水县山塘整治工程、习水县桑木镇道路及饮水工程（打捆）、习水县重点山洪沟治理工程、习水县灌区节水改造配套工程、习水县重点灌区节水高效灌溉工程、习水县官店镇店子湾山塘应急水源工程、习水县西郊水厂迁建工程。</w:t>
            </w:r>
          </w:p>
          <w:p>
            <w:pPr>
              <w:spacing w:line="440" w:lineRule="exact"/>
              <w:ind w:firstLine="482"/>
              <w:rPr>
                <w:rFonts w:ascii="楷体_GB2312" w:hAnsi="楷体_GB2312" w:eastAsia="楷体_GB2312" w:cs="楷体_GB2312"/>
                <w:sz w:val="24"/>
                <w:szCs w:val="24"/>
              </w:rPr>
            </w:pPr>
            <w:r>
              <w:rPr>
                <w:rFonts w:hint="eastAsia" w:ascii="楷体_GB2312" w:hAnsi="楷体_GB2312" w:eastAsia="楷体_GB2312" w:cs="楷体_GB2312"/>
                <w:b/>
                <w:bCs/>
                <w:sz w:val="24"/>
                <w:szCs w:val="24"/>
                <w:lang w:bidi="ar"/>
              </w:rPr>
              <w:t>3、水利治理项目：</w:t>
            </w:r>
            <w:r>
              <w:rPr>
                <w:rFonts w:hint="eastAsia" w:ascii="楷体_GB2312" w:hAnsi="楷体_GB2312" w:eastAsia="楷体_GB2312" w:cs="楷体_GB2312"/>
                <w:sz w:val="24"/>
                <w:szCs w:val="24"/>
                <w:lang w:bidi="ar"/>
              </w:rPr>
              <w:t>习水县县城涝区综合治理工程、习水县重点涝区综合治理工程、习水县集镇涝区综合治理工程。</w:t>
            </w:r>
          </w:p>
        </w:tc>
      </w:tr>
    </w:tbl>
    <w:p>
      <w:pPr>
        <w:ind w:firstLine="562"/>
        <w:rPr>
          <w:rFonts w:ascii="仿宋_GB2312" w:hAnsi="仿宋_GB2312" w:eastAsia="仿宋_GB2312" w:cs="仿宋_GB2312"/>
        </w:rPr>
      </w:pPr>
      <w:r>
        <w:rPr>
          <w:rFonts w:hint="eastAsia" w:ascii="仿宋_GB2312" w:hAnsi="仿宋_GB2312" w:eastAsia="仿宋_GB2312" w:cs="仿宋_GB2312"/>
          <w:b/>
        </w:rPr>
        <w:t>推进电力基础设施建设。</w:t>
      </w:r>
      <w:r>
        <w:rPr>
          <w:rFonts w:hint="eastAsia" w:ascii="仿宋_GB2312" w:hAnsi="仿宋_GB2312" w:eastAsia="仿宋_GB2312" w:cs="仿宋_GB2312"/>
        </w:rPr>
        <w:t>推进高速公路服务区和具备建设条件的加油站充电设施建设。推动桑木风电场建设，推进东皇风电项目核准。推进500kV绿洲变输变电工程和220kV红城变输变电工程等重点项目建设。新建500千伏输电线路8公里，220千伏输电线线路34公里。新建110千伏变电站2座，新建110千伏线路78公里。加快推进农网升级改造，满足农村地区用电需求。</w:t>
      </w:r>
    </w:p>
    <w:p>
      <w:pPr>
        <w:ind w:firstLine="562"/>
        <w:rPr>
          <w:rFonts w:ascii="仿宋_GB2312" w:hAnsi="仿宋_GB2312" w:eastAsia="仿宋_GB2312" w:cs="仿宋_GB2312"/>
        </w:rPr>
      </w:pPr>
      <w:r>
        <w:rPr>
          <w:rFonts w:hint="eastAsia" w:ascii="仿宋_GB2312" w:hAnsi="仿宋_GB2312" w:eastAsia="仿宋_GB2312" w:cs="仿宋_GB2312"/>
          <w:b/>
        </w:rPr>
        <w:t>着力推进天然气工程建设。</w:t>
      </w:r>
      <w:r>
        <w:rPr>
          <w:rFonts w:hint="eastAsia" w:ascii="仿宋_GB2312" w:hAnsi="仿宋_GB2312" w:eastAsia="仿宋_GB2312" w:cs="仿宋_GB2312"/>
        </w:rPr>
        <w:t>按照“能快则快、能通则通”的原则，启动天然气省级“县县通”支线“温水—良村分输阀室—丁山—习水县城”建设，习水县城—习酒天然气管道建设和习水县城—土城—赤水（元厚）管道建设，实现园区全部接通管道气。分类推进全县26个乡镇（街道）配气管道等设施建设，加大城镇燃气入户安装，提高城镇居民燃气使用率。合理规划建设液化气充装站，提高乡村液化气普及率。全面推进页岩气开发转化利用，推进“探”转“采”工作，实施林页1—1井、林页2井、5井、7井、8井、10井勘探开发，形成规模产能。推进丁页5井、林页3井页岩气销售利用，打通页岩气生产端、输送端、消费端通道，推进页岩气就地转化利用，计划年利用页岩气</w:t>
      </w:r>
      <w:r>
        <w:rPr>
          <w:rFonts w:ascii="仿宋_GB2312" w:hAnsi="仿宋_GB2312" w:eastAsia="仿宋_GB2312" w:cs="仿宋_GB2312"/>
        </w:rPr>
        <w:t>5</w:t>
      </w:r>
      <w:r>
        <w:rPr>
          <w:rFonts w:hint="eastAsia" w:ascii="仿宋_GB2312" w:hAnsi="仿宋_GB2312" w:eastAsia="仿宋_GB2312" w:cs="仿宋_GB2312"/>
        </w:rPr>
        <w:t>000万立方米以上，逐年提高利用量，为全县经济社会发展增加天然气供应能力，形成多气源保障格局。</w:t>
      </w:r>
    </w:p>
    <w:p>
      <w:pPr>
        <w:spacing w:before="156" w:beforeLines="50"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专栏27：油电气项目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温水经县城至土城天然气支线管道建设项目、习水县城至习酒天然气支线管道建设项目、习水县温水至丁山天然气长输管线建设项目、习水县页岩气压缩储备中心建设项目、习水县城镇燃气项目、习水500千伏红城变输变电工程、习水220千伏绿洲变输变电工程、习水220千伏酒城变输变电工程、习水110千伏回龙变输变电工程、习水110千伏两路变输变电工程、习水110千伏沙溪变输变电工程、习水35千伏双龙变输变电工程、习水110千伏习水变增容工程、习水110千伏银龙变二期扩建工程、习水110千伏同民变二期扩建输变电工程、习水110千伏永安变二期扩建输变电工程、习水35千伏仙源变增容工程、习水35千伏里狮变增容工程、习水35千伏马临变增容工程、习水35千伏寨坝变增容工程、习水35千伏民化变增容工程、习水35千伏伏龙变增容工程、习水35千伏坭坝变二期扩建输变电工程、习水35千伏程寨变二期扩建输变电工程、习水县配网新建、改造工程。</w:t>
            </w:r>
          </w:p>
        </w:tc>
      </w:tr>
    </w:tbl>
    <w:p>
      <w:pPr>
        <w:pStyle w:val="5"/>
        <w:jc w:val="center"/>
        <w:rPr>
          <w:rFonts w:ascii="仿宋_GB2312" w:hAnsi="仿宋_GB2312" w:eastAsia="仿宋_GB2312" w:cs="仿宋_GB2312"/>
          <w:b/>
          <w:bCs/>
          <w:sz w:val="32"/>
          <w:szCs w:val="32"/>
        </w:rPr>
      </w:pPr>
      <w:bookmarkStart w:id="298" w:name="_Toc6778"/>
      <w:bookmarkStart w:id="299" w:name="_Toc26479"/>
      <w:bookmarkStart w:id="300" w:name="_Toc18634"/>
      <w:r>
        <w:rPr>
          <w:rFonts w:hint="eastAsia" w:ascii="仿宋_GB2312" w:hAnsi="仿宋_GB2312" w:eastAsia="仿宋_GB2312" w:cs="仿宋_GB2312"/>
          <w:b/>
          <w:bCs/>
          <w:sz w:val="32"/>
          <w:szCs w:val="32"/>
        </w:rPr>
        <w:t>第三节   加快推进地下管网建设</w:t>
      </w:r>
      <w:bookmarkEnd w:id="298"/>
      <w:bookmarkEnd w:id="299"/>
      <w:bookmarkEnd w:id="300"/>
    </w:p>
    <w:p>
      <w:pPr>
        <w:pStyle w:val="9"/>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完善市政管线管网，加快污水管网建设、老旧破损管道更新改造和雨污合流管道的分流改造，多管齐下全面提高污水收集率。加快雨水管网建设，对城市易涝点进行整治，开展雨水管网改造，实现源头减排。稳妥推进城市地下综合管廊建设，鼓励在经开区（园区）、新城区建设过程中同步推进城市地下综合管廊建设。逐步实施老城区域水、电、讯等线网入地，不断提升城市综合环境面貌。</w:t>
      </w:r>
    </w:p>
    <w:p>
      <w:pPr>
        <w:spacing w:after="156" w:afterLines="50"/>
        <w:ind w:firstLine="0" w:firstLineChars="0"/>
        <w:jc w:val="center"/>
        <w:rPr>
          <w:rFonts w:hint="eastAsia" w:ascii="楷体_GB2312" w:hAnsi="楷体_GB2312" w:eastAsia="楷体_GB2312" w:cs="楷体_GB2312"/>
          <w:b/>
          <w:bCs/>
        </w:rPr>
      </w:pPr>
    </w:p>
    <w:p>
      <w:pPr>
        <w:spacing w:after="156" w:afterLines="50"/>
        <w:ind w:firstLine="0" w:firstLineChars="0"/>
        <w:jc w:val="center"/>
        <w:rPr>
          <w:rFonts w:ascii="楷体_GB2312" w:hAnsi="楷体_GB2312" w:eastAsia="楷体_GB2312" w:cs="楷体_GB2312"/>
          <w:b/>
          <w:bCs/>
        </w:rPr>
      </w:pPr>
      <w:r>
        <w:rPr>
          <w:rFonts w:hint="eastAsia" w:ascii="楷体_GB2312" w:hAnsi="楷体_GB2312" w:eastAsia="楷体_GB2312" w:cs="楷体_GB2312"/>
          <w:b/>
          <w:bCs/>
        </w:rPr>
        <w:t>专栏28：地下管网建设项目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lang w:bidi="ar"/>
              </w:rPr>
              <w:t>习水县城镇二级污水管网提升改造工程、习水县污水治理设施提升改造工程（打捆）、习水县县城管网工程。</w:t>
            </w:r>
          </w:p>
        </w:tc>
      </w:tr>
    </w:tbl>
    <w:p>
      <w:pPr>
        <w:pStyle w:val="5"/>
        <w:jc w:val="center"/>
        <w:rPr>
          <w:rFonts w:ascii="仿宋_GB2312" w:hAnsi="仿宋_GB2312" w:eastAsia="仿宋_GB2312" w:cs="仿宋_GB2312"/>
          <w:b/>
          <w:bCs/>
          <w:sz w:val="32"/>
          <w:szCs w:val="32"/>
        </w:rPr>
      </w:pPr>
      <w:bookmarkStart w:id="301" w:name="_Toc32509"/>
      <w:bookmarkStart w:id="302" w:name="_Toc10554"/>
      <w:bookmarkStart w:id="303" w:name="_Toc22228"/>
      <w:r>
        <w:rPr>
          <w:rFonts w:hint="eastAsia" w:ascii="仿宋_GB2312" w:hAnsi="仿宋_GB2312" w:eastAsia="仿宋_GB2312" w:cs="仿宋_GB2312"/>
          <w:b/>
          <w:bCs/>
          <w:sz w:val="32"/>
          <w:szCs w:val="32"/>
        </w:rPr>
        <w:t>第四节   加快信息网络基础设施建设</w:t>
      </w:r>
      <w:bookmarkEnd w:id="301"/>
      <w:bookmarkEnd w:id="302"/>
      <w:bookmarkEnd w:id="303"/>
    </w:p>
    <w:p>
      <w:pPr>
        <w:spacing w:before="156" w:after="156"/>
        <w:ind w:firstLine="562"/>
        <w:rPr>
          <w:rFonts w:ascii="仿宋_GB2312" w:hAnsi="仿宋_GB2312" w:eastAsia="仿宋_GB2312" w:cs="仿宋_GB2312"/>
        </w:rPr>
      </w:pPr>
      <w:r>
        <w:rPr>
          <w:rFonts w:hint="eastAsia" w:ascii="仿宋_GB2312" w:hAnsi="仿宋_GB2312" w:eastAsia="仿宋_GB2312" w:cs="仿宋_GB2312"/>
          <w:b/>
          <w:bCs/>
        </w:rPr>
        <w:t>完善信息网络设施。</w:t>
      </w:r>
      <w:r>
        <w:rPr>
          <w:rFonts w:hint="eastAsia" w:ascii="仿宋_GB2312" w:hAnsi="仿宋_GB2312" w:eastAsia="仿宋_GB2312" w:cs="仿宋_GB2312"/>
        </w:rPr>
        <w:t>按照“高速通达、覆盖城乡、优质廉价、服务便捷”的要求，加强信息网络基础设施建设，提高高速宽带网络支撑水平，加快推进三网融合。深入推进乡镇通信网络线路管网入地工程。围绕政府及行业单位信息化建设的需要，大力推进政府门户网站系统、OA办公系统、网上审批系统以及城乡应急联动管理系统等服务系统建设。大力实施数字城市、光纤入户、农村宽带普及无线覆盖工程，统筹提高城乡宽带网络普及水平和接入能力。启动县城5G网络试点工程，推动政府机关、企事业单位所属公共设施向高端5G基站、宽带网络设施建设开放资源，提供通讯便利。</w:t>
      </w:r>
    </w:p>
    <w:p>
      <w:pPr>
        <w:spacing w:before="156" w:after="156"/>
        <w:ind w:firstLine="562"/>
        <w:rPr>
          <w:rFonts w:ascii="仿宋_GB2312" w:hAnsi="仿宋_GB2312" w:eastAsia="仿宋_GB2312" w:cs="仿宋_GB2312"/>
        </w:rPr>
      </w:pPr>
      <w:r>
        <w:rPr>
          <w:rFonts w:hint="eastAsia" w:ascii="仿宋_GB2312" w:hAnsi="仿宋_GB2312" w:eastAsia="仿宋_GB2312" w:cs="仿宋_GB2312"/>
          <w:b/>
          <w:bCs/>
        </w:rPr>
        <w:t>加快智慧园区建设。</w:t>
      </w:r>
      <w:r>
        <w:rPr>
          <w:rFonts w:hint="eastAsia" w:ascii="仿宋_GB2312" w:hAnsi="仿宋_GB2312" w:eastAsia="仿宋_GB2312" w:cs="仿宋_GB2312"/>
        </w:rPr>
        <w:t>大力推进经开区信息化建设，围绕创建国家级经开区，深入实施大数据主体培育工程，激发各类创新主体活力。加快经开区、产业基地、产业园和创业孵化基地光纤网、移动通信网和无线局域网等网络基础设施建设，构建面向智能制造单元、智能化工厂，低延时、高可靠、广覆盖的工业互联网。</w:t>
      </w:r>
      <w:bookmarkStart w:id="304" w:name="_Toc18646"/>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305" w:name="_Toc7426"/>
      <w:bookmarkStart w:id="306" w:name="_Toc3484"/>
      <w:r>
        <w:rPr>
          <w:rFonts w:hint="eastAsia" w:ascii="方正小标宋简体" w:hAnsi="方正小标宋简体" w:eastAsia="方正小标宋简体" w:cs="方正小标宋简体"/>
          <w:b w:val="0"/>
          <w:bCs/>
          <w:sz w:val="32"/>
          <w:szCs w:val="32"/>
        </w:rPr>
        <w:t>第十五章   坚持改革创新，着力增强发展新优势</w:t>
      </w:r>
      <w:bookmarkEnd w:id="304"/>
      <w:bookmarkEnd w:id="305"/>
      <w:bookmarkEnd w:id="306"/>
    </w:p>
    <w:p>
      <w:pPr>
        <w:spacing w:before="156" w:after="156"/>
        <w:ind w:firstLine="560"/>
        <w:rPr>
          <w:rFonts w:ascii="仿宋_GB2312" w:hAnsi="仿宋_GB2312" w:eastAsia="仿宋_GB2312" w:cs="仿宋_GB2312"/>
        </w:rPr>
      </w:pPr>
      <w:r>
        <w:rPr>
          <w:rFonts w:hint="eastAsia" w:ascii="仿宋_GB2312" w:hAnsi="仿宋_GB2312" w:eastAsia="仿宋_GB2312" w:cs="仿宋_GB2312"/>
        </w:rPr>
        <w:t>聚焦习水经济转型面临的突出问题和体制机制障碍，提高改革精准发力和精准落地能力，努力在重点领域实现新突破。坚持创新在习水经济社会发展中的重要地位和关键作用，全面强化科技创新，完善创新体系，提升自主创新能力，为高质量发展提供支撑。</w:t>
      </w:r>
    </w:p>
    <w:p>
      <w:pPr>
        <w:pStyle w:val="5"/>
        <w:jc w:val="center"/>
        <w:rPr>
          <w:rFonts w:ascii="仿宋_GB2312" w:hAnsi="仿宋_GB2312" w:eastAsia="仿宋_GB2312" w:cs="仿宋_GB2312"/>
          <w:b/>
          <w:bCs/>
          <w:sz w:val="32"/>
          <w:szCs w:val="32"/>
        </w:rPr>
      </w:pPr>
      <w:bookmarkStart w:id="307" w:name="_Toc21753"/>
      <w:bookmarkStart w:id="308" w:name="_Toc31801"/>
      <w:bookmarkStart w:id="309" w:name="_Toc19332"/>
      <w:r>
        <w:rPr>
          <w:rFonts w:hint="eastAsia" w:ascii="仿宋_GB2312" w:hAnsi="仿宋_GB2312" w:eastAsia="仿宋_GB2312" w:cs="仿宋_GB2312"/>
          <w:b/>
          <w:bCs/>
          <w:sz w:val="32"/>
          <w:szCs w:val="32"/>
        </w:rPr>
        <w:t>第一节   加强关键领域改革</w:t>
      </w:r>
      <w:bookmarkEnd w:id="307"/>
      <w:bookmarkEnd w:id="308"/>
      <w:bookmarkEnd w:id="309"/>
    </w:p>
    <w:p>
      <w:pPr>
        <w:ind w:firstLine="562"/>
        <w:rPr>
          <w:rFonts w:ascii="仿宋_GB2312" w:hAnsi="仿宋_GB2312" w:eastAsia="仿宋_GB2312" w:cs="仿宋_GB2312"/>
        </w:rPr>
      </w:pPr>
      <w:r>
        <w:rPr>
          <w:rFonts w:hint="eastAsia" w:ascii="仿宋_GB2312" w:hAnsi="仿宋_GB2312" w:eastAsia="仿宋_GB2312" w:cs="仿宋_GB2312"/>
          <w:b/>
          <w:bCs/>
        </w:rPr>
        <w:t>深化供给侧结构性改革。</w:t>
      </w:r>
      <w:r>
        <w:rPr>
          <w:rFonts w:hint="eastAsia" w:ascii="仿宋_GB2312" w:hAnsi="仿宋_GB2312" w:eastAsia="仿宋_GB2312" w:cs="仿宋_GB2312"/>
        </w:rPr>
        <w:t>科学界定产权，明确资产所有权归属，完善产权保护制度，健全产权交易规则和监管制度，建立归属清晰、权责明确、保护严格、流转顺畅的现代产权制度，为经济稳定健康发展和社会有序运行提供重要的制度保障。减少政府对价格形成的干预，缩小政府定价范围，全面放开竞争领域产品和服务价格，加快推进酱香白酒、煤炭、电力等资源型产品价格形成机制改革，健全农产品价格形成机制，不断完善市场决定价格机制。严格执行工业和经营性用地“招标、拍卖、挂牌”供应制度，积极推进新一轮城乡建设用地增减挂钩和工矿废弃地复垦利用，加快盘活闲置和低效土地，完善土地租赁、转让、抵押二级市场，加快建立产权明晰、规则一致、竞争有序的城乡统一建设用地市场。建立统一开放的人力资源市场，发挥技术交易市场在促进技术集聚流转、价格发现、资源配置、秩序规范和创新激励等方面的作用，促进人才、资金、科研成果等在城乡、企业、科研机构间有序流动。</w:t>
      </w:r>
    </w:p>
    <w:p>
      <w:pPr>
        <w:ind w:firstLine="562"/>
        <w:rPr>
          <w:rFonts w:ascii="仿宋_GB2312" w:hAnsi="仿宋_GB2312" w:eastAsia="仿宋_GB2312" w:cs="仿宋_GB2312"/>
        </w:rPr>
      </w:pPr>
      <w:r>
        <w:rPr>
          <w:rFonts w:hint="eastAsia" w:ascii="仿宋_GB2312" w:hAnsi="仿宋_GB2312" w:eastAsia="仿宋_GB2312" w:cs="仿宋_GB2312"/>
          <w:b/>
          <w:bCs/>
        </w:rPr>
        <w:t>深化国企国资改革。</w:t>
      </w:r>
      <w:r>
        <w:rPr>
          <w:rFonts w:hint="eastAsia" w:ascii="仿宋_GB2312" w:hAnsi="仿宋_GB2312" w:eastAsia="仿宋_GB2312" w:cs="仿宋_GB2312"/>
        </w:rPr>
        <w:t>完善以管资本为主的国有资产监管体制，明确国有企业功能和主业，在国资监管上逐步实现企业全覆盖、事项全覆盖，加快从管资产向管资本转变，促进优化国有资本配置和创新监管方式、完善监管体系，提高监管的科学性和有效性，实现国有资产保值增值。推进国有企业信息公开，完善国有资本经营预算制度，推进国企负责人薪酬制度改革。综合运用市场、经济和行政的手段，分类推进国有企业兼并、重组、改制、破产，健全国有企业章程制度，完善现代企业法人治理结构，引入多元投资主体，构建现代企业制度，打造若干具有较强实力的大企业大集团。稳步推进混合所有制改革，鼓励国有资本以多种方式入股非国有企业，支持民营企业通过出资入股、收购股权和组建股权投资基金等多种方式，依法参与国有企业改制重组，促进国有资本与非国有资本深度融合，推动国有经济与非公经济共同发展。探索实行混合所有制企业员工持股，建立健全股权流转和退出机制。</w:t>
      </w:r>
    </w:p>
    <w:p>
      <w:pPr>
        <w:ind w:firstLine="562"/>
        <w:rPr>
          <w:rFonts w:ascii="仿宋_GB2312" w:hAnsi="仿宋_GB2312" w:eastAsia="仿宋_GB2312" w:cs="仿宋_GB2312"/>
        </w:rPr>
      </w:pPr>
      <w:r>
        <w:rPr>
          <w:rFonts w:hint="eastAsia" w:ascii="仿宋_GB2312" w:hAnsi="仿宋_GB2312" w:eastAsia="仿宋_GB2312" w:cs="仿宋_GB2312"/>
          <w:b/>
          <w:bCs/>
        </w:rPr>
        <w:t>深化财税体制改革。</w:t>
      </w:r>
      <w:r>
        <w:rPr>
          <w:rFonts w:hint="eastAsia" w:ascii="仿宋_GB2312" w:hAnsi="仿宋_GB2312" w:eastAsia="仿宋_GB2312" w:cs="仿宋_GB2312"/>
        </w:rPr>
        <w:t>落实国家、省、市各项财税体制改革措施，完善税收征管体系建设，加强非税收入管理，不断优化财政收入结构。建立全面规范、公开透明的预算制度，强化预算约束，严格预算执行，细化预算编制，改进年度预算控制方式，实施跨年度预算平衡机制和中期财政规划管理。完善国库集中收付制度改革，建立完善国库单一账户体系。加强财政专户管理，完善集中支付和授权支付方法，厉行节约公务成本。全面推进支出绩效第三方评价，评价结果作为预算安排的重要依据，不断优化资源配置，提高财政资金使用效率。建立规范的地方政府举债融资体制。继续推进政府采购工作，不断扩大政府采购范围，加大政府购买公共服务力度，健全优先使用创新产品、绿色产品的政府采购政策。</w:t>
      </w:r>
    </w:p>
    <w:p>
      <w:pPr>
        <w:pStyle w:val="5"/>
        <w:jc w:val="center"/>
        <w:rPr>
          <w:rFonts w:ascii="仿宋_GB2312" w:hAnsi="仿宋_GB2312" w:eastAsia="仿宋_GB2312" w:cs="仿宋_GB2312"/>
          <w:b/>
          <w:bCs/>
          <w:sz w:val="32"/>
          <w:szCs w:val="32"/>
        </w:rPr>
      </w:pPr>
      <w:bookmarkStart w:id="310" w:name="_Toc25051"/>
      <w:bookmarkStart w:id="311" w:name="_Toc1801"/>
      <w:bookmarkStart w:id="312" w:name="_Toc13346"/>
      <w:r>
        <w:rPr>
          <w:rFonts w:hint="eastAsia" w:ascii="仿宋_GB2312" w:hAnsi="仿宋_GB2312" w:eastAsia="仿宋_GB2312" w:cs="仿宋_GB2312"/>
          <w:b/>
          <w:bCs/>
          <w:sz w:val="32"/>
          <w:szCs w:val="32"/>
        </w:rPr>
        <w:t>第二节   推进行政效能改革</w:t>
      </w:r>
      <w:bookmarkEnd w:id="310"/>
      <w:bookmarkEnd w:id="311"/>
      <w:bookmarkEnd w:id="312"/>
    </w:p>
    <w:p>
      <w:pPr>
        <w:keepNext w:val="0"/>
        <w:keepLines w:val="0"/>
        <w:pageBreakBefore w:val="0"/>
        <w:kinsoku/>
        <w:wordWrap/>
        <w:overflowPunct/>
        <w:topLinePunct w:val="0"/>
        <w:autoSpaceDE/>
        <w:autoSpaceDN/>
        <w:bidi w:val="0"/>
        <w:snapToGrid/>
        <w:spacing w:line="540" w:lineRule="exact"/>
        <w:ind w:firstLine="562"/>
        <w:rPr>
          <w:rFonts w:ascii="仿宋_GB2312" w:hAnsi="仿宋_GB2312" w:eastAsia="仿宋_GB2312" w:cs="仿宋_GB2312"/>
        </w:rPr>
      </w:pPr>
      <w:r>
        <w:rPr>
          <w:rFonts w:hint="eastAsia" w:ascii="仿宋_GB2312" w:hAnsi="仿宋_GB2312" w:eastAsia="仿宋_GB2312" w:cs="仿宋_GB2312"/>
          <w:b/>
          <w:bCs/>
        </w:rPr>
        <w:t>深化行政管理体制改革。</w:t>
      </w:r>
      <w:r>
        <w:rPr>
          <w:rFonts w:hint="eastAsia" w:ascii="仿宋_GB2312" w:hAnsi="仿宋_GB2312" w:eastAsia="仿宋_GB2312" w:cs="仿宋_GB2312"/>
        </w:rPr>
        <w:t>按照权责一致、分工合理、决策科学、执行顺畅、监督有力的要求，进一步优化政府组织结构，理顺部门职责关系，完善行政运行机制，提高政府整体效能。继续深化乡镇机构改革，推动健全精干高效的乡镇行政管理体制和运行机制。积极推进综合行政执法体制改革工作，在城市建设、食品药品、工商质监、公共卫生、安全生产、商务等重点领域探索推进跨部门综合执法。积极开展政府绩效第三方评估工作。健全规范“三重一大”决策机制，完善公示听证、决策咨询、专家论证、合法性审查等制度。提升“随手拍”“政务微博”等网络平台运行水平，拓展问政渠道，回应社会关切。</w:t>
      </w:r>
    </w:p>
    <w:p>
      <w:pPr>
        <w:keepNext w:val="0"/>
        <w:keepLines w:val="0"/>
        <w:pageBreakBefore w:val="0"/>
        <w:kinsoku/>
        <w:wordWrap/>
        <w:overflowPunct/>
        <w:topLinePunct w:val="0"/>
        <w:autoSpaceDE/>
        <w:autoSpaceDN/>
        <w:bidi w:val="0"/>
        <w:snapToGrid/>
        <w:spacing w:line="540" w:lineRule="exact"/>
        <w:ind w:firstLine="562"/>
        <w:rPr>
          <w:rFonts w:ascii="仿宋_GB2312" w:hAnsi="仿宋_GB2312" w:eastAsia="仿宋_GB2312" w:cs="仿宋_GB2312"/>
        </w:rPr>
      </w:pPr>
      <w:r>
        <w:rPr>
          <w:rFonts w:hint="eastAsia" w:ascii="仿宋_GB2312" w:hAnsi="仿宋_GB2312" w:eastAsia="仿宋_GB2312" w:cs="仿宋_GB2312"/>
          <w:b/>
          <w:bCs/>
        </w:rPr>
        <w:t>深化事业单位分类改革。</w:t>
      </w:r>
      <w:r>
        <w:rPr>
          <w:rFonts w:hint="eastAsia" w:ascii="仿宋_GB2312" w:hAnsi="仿宋_GB2312" w:eastAsia="仿宋_GB2312" w:cs="仿宋_GB2312"/>
        </w:rPr>
        <w:t>根据不同事业单位的特点，深化政府机构改革和职责整合，有序推进承担行政职能和从事生产经营活动事业单位改革。统筹考虑承担行政职能的事业单位机构职能优化整合，加快推进从事生产经营活动的事业单位改革，完善养老、医疗等过渡政策，加快转企改制。深化从事公益服务的事业单位改革，建立事业单位法人治理结构，推动公办事业单位和主管部门理顺关系和去行政化，探索逐步取消学校、科研院所、医院等单位的行政级别。深化社会组织管理制度改革，加快行业协会、商会与行政机关脱钩改革。推进建立各类事业单位统一登记制度。</w:t>
      </w:r>
    </w:p>
    <w:p>
      <w:pPr>
        <w:keepNext w:val="0"/>
        <w:keepLines w:val="0"/>
        <w:pageBreakBefore w:val="0"/>
        <w:kinsoku/>
        <w:wordWrap/>
        <w:overflowPunct/>
        <w:topLinePunct w:val="0"/>
        <w:autoSpaceDE/>
        <w:autoSpaceDN/>
        <w:bidi w:val="0"/>
        <w:snapToGrid/>
        <w:spacing w:line="540" w:lineRule="exact"/>
        <w:ind w:firstLine="562"/>
        <w:rPr>
          <w:rFonts w:ascii="仿宋_GB2312" w:hAnsi="仿宋_GB2312" w:eastAsia="仿宋_GB2312" w:cs="仿宋_GB2312"/>
        </w:rPr>
      </w:pPr>
      <w:r>
        <w:rPr>
          <w:rFonts w:hint="eastAsia" w:ascii="仿宋_GB2312" w:hAnsi="仿宋_GB2312" w:eastAsia="仿宋_GB2312" w:cs="仿宋_GB2312"/>
          <w:b/>
          <w:bCs/>
        </w:rPr>
        <w:t>深化行政审批制度改革。</w:t>
      </w:r>
      <w:r>
        <w:rPr>
          <w:rFonts w:hint="eastAsia" w:ascii="仿宋_GB2312" w:hAnsi="仿宋_GB2312" w:eastAsia="仿宋_GB2312" w:cs="仿宋_GB2312"/>
        </w:rPr>
        <w:t>以转变政府职能和提高行政效率为核心，加快推进行政审批制度改革，简化审批程序，规范审批流程，提高行政效能。在工程招投标、土地出让、政府采购、国有资产处置、公共资源交易等重点领域和关键环节上，进一步完善健全制度，最大限度地铲除腐败行为滋生蔓延的土壤。做好行政审批事项和审批权限下放承接工作，全面清理非行政许可审批事项，大幅减少前置审批。加快对建设项目审批前置相关中介机构的摸底和清理，推进编制政府部门行政审批中介服务事项清单、服务时限、服务标准、收费标准，切实提升中介机构服务水平，严禁将行政审批事项转为中介服务事项，防止审批事项边减边增、明减暗增。建立健全乡镇便民服务中心和村级便民室。利用公共资源交易平台和公共服务平台，深入推进政务公开。探索构建一网式、全时段的“网上政务大厅”，为广大群众及办事人员提供快捷高效地服务，实现信息共通共享、公共服务全天候受理。</w:t>
      </w:r>
    </w:p>
    <w:p>
      <w:pPr>
        <w:keepNext w:val="0"/>
        <w:keepLines w:val="0"/>
        <w:pageBreakBefore w:val="0"/>
        <w:kinsoku/>
        <w:wordWrap/>
        <w:overflowPunct/>
        <w:topLinePunct w:val="0"/>
        <w:autoSpaceDE/>
        <w:autoSpaceDN/>
        <w:bidi w:val="0"/>
        <w:snapToGrid/>
        <w:spacing w:line="540" w:lineRule="exact"/>
        <w:ind w:firstLine="562"/>
        <w:rPr>
          <w:rFonts w:ascii="仿宋_GB2312" w:hAnsi="仿宋_GB2312" w:eastAsia="仿宋_GB2312" w:cs="仿宋_GB2312"/>
        </w:rPr>
      </w:pPr>
      <w:r>
        <w:rPr>
          <w:rFonts w:hint="eastAsia" w:ascii="仿宋_GB2312" w:hAnsi="仿宋_GB2312" w:eastAsia="仿宋_GB2312" w:cs="仿宋_GB2312"/>
          <w:b/>
          <w:bCs/>
        </w:rPr>
        <w:t>深入推进商事制度改革。</w:t>
      </w:r>
      <w:r>
        <w:rPr>
          <w:rFonts w:hint="eastAsia" w:ascii="仿宋_GB2312" w:hAnsi="仿宋_GB2312" w:eastAsia="仿宋_GB2312" w:cs="仿宋_GB2312"/>
        </w:rPr>
        <w:t>全面严格落实“先照后证”改革，推进全程电子化登记和电子营业执照应用，放宽市场主体住所（经营场所）登记条件，持续创新优化登记方式，减少市场主体准入环节，最大限度降低创业成本，激发市场主体活力。积极推进工商营业执照、组织机构代码证、税务登记证“三证合一”，结合习水县实际情况，试行更加灵活的登记模式。加快建立全县统一的信用信息基础数据库，为政府部门、社会单位和个人查询行政机关依法公开的市场主体行政许可、行政处罚等信用信息、各类市场主体公示的年度报告信息、资质许可等即时信息提供一站式服务，实现信用信息互联互通。</w:t>
      </w:r>
    </w:p>
    <w:p>
      <w:pPr>
        <w:pStyle w:val="5"/>
        <w:jc w:val="center"/>
        <w:rPr>
          <w:rFonts w:ascii="仿宋_GB2312" w:hAnsi="仿宋_GB2312" w:eastAsia="仿宋_GB2312" w:cs="仿宋_GB2312"/>
          <w:b/>
          <w:bCs/>
          <w:sz w:val="32"/>
          <w:szCs w:val="32"/>
        </w:rPr>
      </w:pPr>
      <w:bookmarkStart w:id="313" w:name="_Toc18332"/>
      <w:bookmarkStart w:id="314" w:name="_Toc3499"/>
      <w:bookmarkStart w:id="315" w:name="_Toc24782"/>
      <w:bookmarkStart w:id="316" w:name="_Toc4291"/>
      <w:r>
        <w:rPr>
          <w:rFonts w:hint="eastAsia" w:ascii="仿宋_GB2312" w:hAnsi="仿宋_GB2312" w:eastAsia="仿宋_GB2312" w:cs="仿宋_GB2312"/>
          <w:b/>
          <w:bCs/>
          <w:sz w:val="32"/>
          <w:szCs w:val="32"/>
        </w:rPr>
        <w:t>第三节   推进新要素市场改革</w:t>
      </w:r>
      <w:bookmarkEnd w:id="313"/>
      <w:bookmarkEnd w:id="314"/>
      <w:bookmarkEnd w:id="315"/>
      <w:bookmarkEnd w:id="316"/>
    </w:p>
    <w:p>
      <w:pPr>
        <w:keepNext w:val="0"/>
        <w:keepLines w:val="0"/>
        <w:pageBreakBefore w:val="0"/>
        <w:widowControl/>
        <w:kinsoku/>
        <w:wordWrap/>
        <w:overflowPunct/>
        <w:topLinePunct w:val="0"/>
        <w:autoSpaceDE/>
        <w:autoSpaceDN/>
        <w:bidi w:val="0"/>
        <w:snapToGrid/>
        <w:spacing w:line="540" w:lineRule="exact"/>
        <w:ind w:firstLine="560"/>
        <w:jc w:val="left"/>
        <w:rPr>
          <w:rFonts w:ascii="仿宋_GB2312" w:hAnsi="仿宋_GB2312" w:eastAsia="仿宋_GB2312" w:cs="仿宋_GB2312"/>
        </w:rPr>
      </w:pPr>
      <w:r>
        <w:rPr>
          <w:rFonts w:hint="eastAsia" w:ascii="仿宋_GB2312" w:hAnsi="仿宋_GB2312" w:eastAsia="仿宋_GB2312" w:cs="仿宋_GB2312"/>
        </w:rPr>
        <w:t>推进技术要素市场化配置改革。探索科技人员职务科技成果产权激励制度，开展赋予科技人员职务科技成果所有权或长期使用权试点，让科技项目研发与科技人员受益直接挂钩，激发科技人员积极性主动性创造性，提高科技供给质量和效率。加快发展技术转移机构和技术经理人，支持高校、科研机构和科技企业设立技术转移部门。</w:t>
      </w:r>
    </w:p>
    <w:p>
      <w:pPr>
        <w:keepNext w:val="0"/>
        <w:keepLines w:val="0"/>
        <w:pageBreakBefore w:val="0"/>
        <w:widowControl/>
        <w:kinsoku/>
        <w:wordWrap/>
        <w:overflowPunct/>
        <w:topLinePunct w:val="0"/>
        <w:autoSpaceDE/>
        <w:autoSpaceDN/>
        <w:bidi w:val="0"/>
        <w:snapToGrid/>
        <w:spacing w:line="540" w:lineRule="exact"/>
        <w:ind w:firstLine="560"/>
        <w:jc w:val="left"/>
        <w:rPr>
          <w:rFonts w:hint="eastAsia" w:ascii="仿宋_GB2312" w:hAnsi="仿宋_GB2312" w:eastAsia="仿宋_GB2312" w:cs="仿宋_GB2312"/>
        </w:rPr>
      </w:pPr>
      <w:r>
        <w:rPr>
          <w:rFonts w:hint="eastAsia" w:ascii="仿宋_GB2312" w:hAnsi="仿宋_GB2312" w:eastAsia="仿宋_GB2312" w:cs="仿宋_GB2312"/>
        </w:rPr>
        <w:t>推进数据要素市场化配置改革。完善相关制度和政策，对数据所有权、使用权、收益权、处置权等进行规范。在数据确权基础上，在市场定价机制、市场交易方式和市场监管上形成规范性制度和规则，加快培育数据交易市场，实现与国际数据市场对接。</w:t>
      </w:r>
    </w:p>
    <w:p>
      <w:pPr>
        <w:pStyle w:val="18"/>
        <w:keepNext w:val="0"/>
        <w:keepLines w:val="0"/>
        <w:pageBreakBefore w:val="0"/>
        <w:kinsoku/>
        <w:wordWrap/>
        <w:overflowPunct/>
        <w:topLinePunct w:val="0"/>
        <w:autoSpaceDE/>
        <w:autoSpaceDN/>
        <w:bidi w:val="0"/>
        <w:snapToGrid/>
        <w:spacing w:line="540" w:lineRule="exact"/>
      </w:pPr>
    </w:p>
    <w:p>
      <w:pPr>
        <w:pStyle w:val="5"/>
        <w:jc w:val="center"/>
        <w:rPr>
          <w:rFonts w:ascii="仿宋_GB2312" w:hAnsi="仿宋_GB2312" w:eastAsia="仿宋_GB2312" w:cs="仿宋_GB2312"/>
          <w:b/>
          <w:bCs/>
          <w:sz w:val="32"/>
          <w:szCs w:val="32"/>
        </w:rPr>
      </w:pPr>
      <w:bookmarkStart w:id="317" w:name="_Toc18998"/>
      <w:bookmarkStart w:id="318" w:name="_Toc18499"/>
      <w:bookmarkStart w:id="319" w:name="_Toc1812"/>
      <w:bookmarkStart w:id="320" w:name="_Toc31805"/>
      <w:r>
        <w:rPr>
          <w:rFonts w:hint="eastAsia" w:ascii="仿宋_GB2312" w:hAnsi="仿宋_GB2312" w:eastAsia="仿宋_GB2312" w:cs="仿宋_GB2312"/>
          <w:b/>
          <w:bCs/>
          <w:sz w:val="32"/>
          <w:szCs w:val="32"/>
        </w:rPr>
        <w:t>第四节   深化农村综合改革</w:t>
      </w:r>
      <w:bookmarkEnd w:id="317"/>
      <w:bookmarkEnd w:id="318"/>
      <w:bookmarkEnd w:id="319"/>
      <w:bookmarkEnd w:id="320"/>
    </w:p>
    <w:p>
      <w:pPr>
        <w:ind w:firstLine="560"/>
        <w:rPr>
          <w:rFonts w:ascii="仿宋_GB2312" w:hAnsi="仿宋_GB2312" w:eastAsia="仿宋_GB2312" w:cs="仿宋_GB2312"/>
        </w:rPr>
      </w:pPr>
      <w:r>
        <w:rPr>
          <w:rFonts w:hint="eastAsia" w:ascii="仿宋_GB2312" w:hAnsi="仿宋_GB2312" w:eastAsia="仿宋_GB2312" w:cs="仿宋_GB2312"/>
        </w:rPr>
        <w:t>着力深化农村集体产权制度、农业经营制度、城乡发展一体化体制机制，加强各项改革之间的衔接配套，最大限度释放改革的综合效应。稳定完善农村土地承包关系，鼓励农民依法自愿有偿开展土地经营权有序流转，建立健全县、乡、村三级土地流转服务体系和纠纷调解仲裁体系。在稳定和完善农村基本经营制度的基础上，鼓励和引导城市工商资本下乡，参与社会主义新农村建设。稳步推进农村土地制度改革，推进集体经营性建设用地入市改革试点，逐步实现与国有建设用地同等入市、同权同价。探索实行农民宅基地置换城镇住房、换就业、换社保等办法，建立宅基地及承包地的退出机制。继续深化农村“三变”改革、集体林权制度改革，积极推进农村公路管理养护体制、农村水利建设管理体制改革和农村小型水利设施产权制度改革。着力建立健全农村基础设施投入长效机制，推动城镇公共服务向农村延伸，加快形成以工促农、以城带乡、工农互惠、城乡一体的新型工农城乡关系，努力缩小城乡发展差距。</w:t>
      </w:r>
    </w:p>
    <w:p>
      <w:pPr>
        <w:pStyle w:val="5"/>
        <w:jc w:val="center"/>
        <w:rPr>
          <w:rFonts w:ascii="仿宋_GB2312" w:hAnsi="仿宋_GB2312" w:eastAsia="仿宋_GB2312" w:cs="仿宋_GB2312"/>
          <w:b/>
          <w:bCs/>
          <w:sz w:val="32"/>
          <w:szCs w:val="32"/>
        </w:rPr>
      </w:pPr>
      <w:bookmarkStart w:id="321" w:name="_Toc3835"/>
      <w:bookmarkStart w:id="322" w:name="_Toc20471"/>
      <w:bookmarkStart w:id="323" w:name="_Toc5835"/>
      <w:bookmarkStart w:id="324" w:name="_Toc19363"/>
      <w:r>
        <w:rPr>
          <w:rFonts w:hint="eastAsia" w:ascii="仿宋_GB2312" w:hAnsi="仿宋_GB2312" w:eastAsia="仿宋_GB2312" w:cs="仿宋_GB2312"/>
          <w:b/>
          <w:bCs/>
          <w:sz w:val="32"/>
          <w:szCs w:val="32"/>
        </w:rPr>
        <w:t>第五节   全面强化科技创新</w:t>
      </w:r>
      <w:bookmarkEnd w:id="321"/>
      <w:bookmarkEnd w:id="322"/>
      <w:bookmarkEnd w:id="323"/>
      <w:bookmarkEnd w:id="324"/>
    </w:p>
    <w:p>
      <w:pPr>
        <w:ind w:firstLine="560"/>
        <w:rPr>
          <w:rFonts w:ascii="仿宋_GB2312" w:hAnsi="仿宋_GB2312" w:eastAsia="仿宋_GB2312" w:cs="仿宋_GB2312"/>
        </w:rPr>
      </w:pPr>
      <w:r>
        <w:rPr>
          <w:rFonts w:hint="eastAsia" w:ascii="仿宋_GB2312" w:hAnsi="仿宋_GB2312" w:eastAsia="仿宋_GB2312" w:cs="仿宋_GB2312"/>
        </w:rPr>
        <w:t>实施科技强县战略，推动产业技术创新，打造创新创业发展平台。围绕做大做强酱香白酒产业和打造精品旅游品牌，拓展白酒、旅游上下游产业链条，加大酱香白酒酿造工艺优化提升、酒糟资源化综合利用、酱酒包材创新升级、旅游产品开发等方面研究开发力度，申报实施一批省市重大科技项目，突破产业发展技术瓶颈，提升科技支撑能力，开发出系列优质酱香白酒新产品及有市场前景的旅游产品。加大种子种质资源保护科研力度，建好有机高粱种子繁育基地。围绕“三农”发展，狠抓特色食品加工开发，强化产品精深加工工艺研究和新产品开发，助推县域特色食品多元化发展，通过科技服务创新，推进农产品加工业高效发展。聚焦煤电、新型建材、生态环保、卫生健康等领域，积极实施一批科研项目。狠抓工业领域清洁生产和污染控制技术研究，加大环境污染、水污染末端治理和监测检验技术攻关，推广使用一批新技术、新业态、新模式，支撑民生改善和经济社会可持续发展。依托茅台集团和习酒公司，加快建设科技服务中心、科技孵化器、院士工作站、白酒科研所。依托习水经济开发区，设立工程技术研发中心、重点实验室等研发服务平台。</w:t>
      </w:r>
    </w:p>
    <w:p>
      <w:pPr>
        <w:pStyle w:val="5"/>
        <w:jc w:val="center"/>
        <w:rPr>
          <w:rFonts w:ascii="仿宋_GB2312" w:hAnsi="仿宋_GB2312" w:eastAsia="仿宋_GB2312" w:cs="仿宋_GB2312"/>
          <w:b/>
          <w:bCs/>
          <w:sz w:val="32"/>
          <w:szCs w:val="32"/>
        </w:rPr>
      </w:pPr>
      <w:bookmarkStart w:id="325" w:name="_Toc4054"/>
      <w:bookmarkStart w:id="326" w:name="_Toc4857"/>
      <w:bookmarkStart w:id="327" w:name="_Toc30708"/>
      <w:bookmarkStart w:id="328" w:name="_Toc13049"/>
      <w:r>
        <w:rPr>
          <w:rFonts w:hint="eastAsia" w:ascii="仿宋_GB2312" w:hAnsi="仿宋_GB2312" w:eastAsia="仿宋_GB2312" w:cs="仿宋_GB2312"/>
          <w:b/>
          <w:bCs/>
          <w:sz w:val="32"/>
          <w:szCs w:val="32"/>
        </w:rPr>
        <w:t>第六节   增强企业创新能力</w:t>
      </w:r>
      <w:bookmarkEnd w:id="325"/>
      <w:bookmarkEnd w:id="326"/>
      <w:bookmarkEnd w:id="327"/>
      <w:bookmarkEnd w:id="328"/>
    </w:p>
    <w:p>
      <w:pPr>
        <w:ind w:firstLine="560"/>
        <w:rPr>
          <w:rFonts w:ascii="仿宋_GB2312" w:hAnsi="仿宋_GB2312" w:eastAsia="仿宋_GB2312" w:cs="仿宋_GB2312"/>
        </w:rPr>
      </w:pPr>
      <w:r>
        <w:rPr>
          <w:rFonts w:hint="eastAsia" w:ascii="仿宋_GB2312" w:hAnsi="仿宋_GB2312" w:eastAsia="仿宋_GB2312" w:cs="仿宋_GB2312"/>
        </w:rPr>
        <w:t>坚持企业科技创新主体地位，围绕企业研究与试验发展活动开展，加大财政研发经费投入力度，激发企业内生动力。实施企业成长培育工程，聚焦科技型中小企业健康发展，深化技术引进和协同创新，推动创新资源向企业集聚。鼓励科技型中小企业拓展新业务、开发新产品，稳定增加研发投入。支持企业牵头组建创新联合体，打造共性技术平台，建设国家级、省级重点实验室、科技创新平台。鼓励企业开展产品、技术、运营模式等创新，大力提升创新发展能力。建立企业与国内外高等院校合作机制。形成以企业为主体的科技创新格局，不断增强企业科技创新能力和市场竞争力，推动企业向产业链中高端攀升。围绕社会发展领域技术创新，加大技术成果转移转化和企业培育力度，培育一批高新技术企业和在全市、全省有影响力的重点企业。</w:t>
      </w:r>
    </w:p>
    <w:p>
      <w:pPr>
        <w:pStyle w:val="5"/>
        <w:jc w:val="center"/>
        <w:rPr>
          <w:rFonts w:ascii="仿宋_GB2312" w:hAnsi="仿宋_GB2312" w:eastAsia="仿宋_GB2312" w:cs="仿宋_GB2312"/>
          <w:b/>
          <w:bCs/>
          <w:sz w:val="32"/>
          <w:szCs w:val="32"/>
        </w:rPr>
      </w:pPr>
      <w:bookmarkStart w:id="329" w:name="_Toc19806"/>
      <w:bookmarkStart w:id="330" w:name="_Toc10243"/>
      <w:bookmarkStart w:id="331" w:name="_Toc12805"/>
      <w:bookmarkStart w:id="332" w:name="_Toc23749"/>
      <w:r>
        <w:rPr>
          <w:rFonts w:hint="eastAsia" w:ascii="仿宋_GB2312" w:hAnsi="仿宋_GB2312" w:eastAsia="仿宋_GB2312" w:cs="仿宋_GB2312"/>
          <w:b/>
          <w:bCs/>
          <w:sz w:val="32"/>
          <w:szCs w:val="32"/>
        </w:rPr>
        <w:t>第七节   完善科技创新体制机制</w:t>
      </w:r>
      <w:bookmarkEnd w:id="329"/>
      <w:bookmarkEnd w:id="330"/>
      <w:bookmarkEnd w:id="331"/>
      <w:bookmarkEnd w:id="332"/>
    </w:p>
    <w:p>
      <w:pPr>
        <w:ind w:firstLine="560"/>
        <w:rPr>
          <w:rFonts w:ascii="仿宋_GB2312" w:hAnsi="仿宋_GB2312" w:eastAsia="仿宋_GB2312" w:cs="仿宋_GB2312"/>
        </w:rPr>
      </w:pPr>
      <w:r>
        <w:rPr>
          <w:rFonts w:hint="eastAsia" w:ascii="仿宋_GB2312" w:hAnsi="仿宋_GB2312" w:eastAsia="仿宋_GB2312" w:cs="仿宋_GB2312"/>
        </w:rPr>
        <w:t>完善财政科技投入体制机制，提高科技专项资金预算标准，支持企业开展原始创新、人才培引、技术引进推广和成果转化应用，发挥财政科技资金激励引导作用，促进企业创新发展；加大研发投入，搭建融资服务平台，构建以财政投入为引导、企业投入为主体、金融市场为补充的投入体系。探索支持科技创新创业的金融服务体系，发展天使投资、创业投资和产业投资，规范多层次多元化资本市场，开发系列科技金融产品，推进知识产权质押贷款，吸纳更多社会资本流向科技创新创业领域。加强科普宣传和先进技术推广，促进公民科学素养提升。营造鼓励探索、尊重人才、尊重创造的良好氛围，激励全社会支持和参与科技创新。</w:t>
      </w:r>
    </w:p>
    <w:p>
      <w:pPr>
        <w:pStyle w:val="4"/>
        <w:keepNext/>
        <w:keepLines/>
        <w:pageBreakBefore w:val="0"/>
        <w:widowControl w:val="0"/>
        <w:kinsoku/>
        <w:wordWrap/>
        <w:overflowPunct/>
        <w:topLinePunct w:val="0"/>
        <w:autoSpaceDE/>
        <w:autoSpaceDN/>
        <w:bidi w:val="0"/>
        <w:adjustRightInd/>
        <w:snapToGrid/>
        <w:spacing w:before="1249" w:beforeLines="400" w:after="313" w:afterLines="100" w:line="240" w:lineRule="auto"/>
        <w:jc w:val="center"/>
        <w:textAlignment w:val="auto"/>
        <w:rPr>
          <w:rFonts w:hint="eastAsia" w:ascii="方正小标宋简体" w:hAnsi="方正小标宋简体" w:eastAsia="方正小标宋简体" w:cs="方正小标宋简体"/>
          <w:b w:val="0"/>
          <w:bCs/>
          <w:sz w:val="32"/>
          <w:szCs w:val="32"/>
        </w:rPr>
      </w:pPr>
      <w:bookmarkStart w:id="333" w:name="_Toc7713"/>
      <w:bookmarkStart w:id="334" w:name="_Toc16032"/>
      <w:bookmarkStart w:id="335" w:name="_Toc2437"/>
      <w:bookmarkStart w:id="336" w:name="_Toc4212"/>
      <w:bookmarkStart w:id="337" w:name="_Toc22188"/>
      <w:r>
        <w:rPr>
          <w:rFonts w:hint="eastAsia" w:ascii="方正小标宋简体" w:hAnsi="方正小标宋简体" w:eastAsia="方正小标宋简体" w:cs="方正小标宋简体"/>
          <w:b w:val="0"/>
          <w:bCs/>
          <w:sz w:val="32"/>
          <w:szCs w:val="32"/>
        </w:rPr>
        <w:t>第十六章   坚持党的领导，促进规划科学实施</w:t>
      </w:r>
      <w:bookmarkEnd w:id="333"/>
      <w:bookmarkEnd w:id="334"/>
      <w:bookmarkEnd w:id="335"/>
      <w:bookmarkEnd w:id="336"/>
    </w:p>
    <w:p>
      <w:pPr>
        <w:ind w:firstLine="560"/>
        <w:rPr>
          <w:rFonts w:ascii="仿宋_GB2312" w:hAnsi="仿宋_GB2312" w:eastAsia="仿宋_GB2312" w:cs="仿宋_GB2312"/>
        </w:rPr>
      </w:pPr>
      <w:r>
        <w:rPr>
          <w:rFonts w:hint="eastAsia" w:ascii="仿宋_GB2312" w:hAnsi="仿宋_GB2312" w:eastAsia="仿宋_GB2312" w:cs="仿宋_GB2312"/>
        </w:rPr>
        <w:t>坚持发展是党执政兴国的第一要务，进一步深化对发展规律的认识。坚持党总揽全局、协调各方，发挥各级党委（党组）领导核心作用。主动适应经济新常态，善于把握发展新机遇，加强经济形势研判，抓好经济运行分析，完善经济决策制度。举全县之力确保规划分阶段有效落实和发展目标如期实现。</w:t>
      </w:r>
    </w:p>
    <w:p>
      <w:pPr>
        <w:pStyle w:val="5"/>
        <w:jc w:val="center"/>
        <w:rPr>
          <w:rFonts w:ascii="仿宋_GB2312" w:hAnsi="仿宋_GB2312" w:eastAsia="仿宋_GB2312" w:cs="仿宋_GB2312"/>
          <w:b/>
          <w:bCs/>
          <w:sz w:val="32"/>
          <w:szCs w:val="32"/>
        </w:rPr>
      </w:pPr>
      <w:bookmarkStart w:id="338" w:name="_Toc18813"/>
      <w:bookmarkStart w:id="339" w:name="_Toc14351"/>
      <w:bookmarkStart w:id="340" w:name="_Toc7649"/>
      <w:r>
        <w:rPr>
          <w:rFonts w:hint="eastAsia" w:ascii="仿宋_GB2312" w:hAnsi="仿宋_GB2312" w:eastAsia="仿宋_GB2312" w:cs="仿宋_GB2312"/>
          <w:b/>
          <w:bCs/>
          <w:sz w:val="32"/>
          <w:szCs w:val="32"/>
        </w:rPr>
        <w:t>第一节   全面加强党的领导</w:t>
      </w:r>
      <w:bookmarkEnd w:id="338"/>
      <w:bookmarkEnd w:id="339"/>
      <w:bookmarkEnd w:id="340"/>
    </w:p>
    <w:p>
      <w:pPr>
        <w:ind w:firstLine="560"/>
        <w:rPr>
          <w:rFonts w:ascii="仿宋_GB2312" w:hAnsi="仿宋_GB2312" w:eastAsia="仿宋_GB2312" w:cs="仿宋_GB2312"/>
        </w:rPr>
      </w:pPr>
      <w:r>
        <w:rPr>
          <w:rFonts w:hint="eastAsia" w:ascii="仿宋_GB2312" w:hAnsi="仿宋_GB2312" w:eastAsia="仿宋_GB2312" w:cs="仿宋_GB2312"/>
        </w:rPr>
        <w:t>全县各级党委和党员领导干部要切实提高驾驭经济发展全局的能力，履行好领导经济工作的职能，把握好方向，谋划好全局，牢牢把握经济工作的主动权。严格落实重大事项报告制度，健全党委决策咨询机制，深入落实党委（党组）意识形态工作责任制，切实提高执政本领。进一步解放思想，提升战略思维和理论水平，以新的思想、新的动力领导好经济工作。进一步提高领导经济工作制度化水平，建立健全习水县各级党委调研、决策、实施、考核、监督、奖惩等一整套管用的组织及制度体系，规范提升党委领导经济工作的水平。</w:t>
      </w:r>
    </w:p>
    <w:p>
      <w:pPr>
        <w:pStyle w:val="5"/>
        <w:jc w:val="center"/>
        <w:rPr>
          <w:rFonts w:ascii="仿宋_GB2312" w:hAnsi="仿宋_GB2312" w:eastAsia="仿宋_GB2312" w:cs="仿宋_GB2312"/>
          <w:b/>
          <w:bCs/>
          <w:sz w:val="32"/>
          <w:szCs w:val="32"/>
        </w:rPr>
      </w:pPr>
      <w:bookmarkStart w:id="341" w:name="_Toc22703"/>
      <w:bookmarkStart w:id="342" w:name="_Toc3375"/>
      <w:bookmarkStart w:id="343" w:name="_Toc13429"/>
      <w:bookmarkStart w:id="344" w:name="_Toc21600"/>
      <w:r>
        <w:rPr>
          <w:rFonts w:hint="eastAsia" w:ascii="仿宋_GB2312" w:hAnsi="仿宋_GB2312" w:eastAsia="仿宋_GB2312" w:cs="仿宋_GB2312"/>
          <w:b/>
          <w:bCs/>
          <w:sz w:val="32"/>
          <w:szCs w:val="32"/>
        </w:rPr>
        <w:t>第二节   坚持从严治党</w:t>
      </w:r>
      <w:bookmarkEnd w:id="341"/>
      <w:bookmarkEnd w:id="342"/>
      <w:bookmarkEnd w:id="343"/>
      <w:bookmarkEnd w:id="344"/>
    </w:p>
    <w:p>
      <w:pPr>
        <w:ind w:firstLine="562"/>
        <w:rPr>
          <w:rFonts w:ascii="仿宋_GB2312" w:hAnsi="仿宋_GB2312" w:eastAsia="仿宋_GB2312" w:cs="仿宋_GB2312"/>
        </w:rPr>
      </w:pPr>
      <w:r>
        <w:rPr>
          <w:rFonts w:hint="eastAsia" w:ascii="仿宋_GB2312" w:hAnsi="仿宋_GB2312" w:eastAsia="仿宋_GB2312" w:cs="仿宋_GB2312"/>
          <w:b/>
          <w:bCs/>
        </w:rPr>
        <w:t>坚决践行“两个维护”。</w:t>
      </w:r>
      <w:r>
        <w:rPr>
          <w:rFonts w:hint="eastAsia" w:ascii="仿宋_GB2312" w:hAnsi="仿宋_GB2312" w:eastAsia="仿宋_GB2312" w:cs="仿宋_GB2312"/>
        </w:rPr>
        <w:t>把践行“两个维护”作为最高政治原则和最根本的政治纪律，不断增强“四个意识”、坚定“四个自信”，始终在政治立场、政治方向、政治原则、政治道路上与党中央保持高度一致，不折不扣贯彻落实中央、省委、市委的决策部署，自觉做到有令即行、有禁即止。</w:t>
      </w:r>
    </w:p>
    <w:p>
      <w:pPr>
        <w:ind w:firstLine="562"/>
        <w:rPr>
          <w:rFonts w:ascii="仿宋_GB2312" w:hAnsi="仿宋_GB2312" w:eastAsia="仿宋_GB2312" w:cs="仿宋_GB2312"/>
        </w:rPr>
      </w:pPr>
      <w:r>
        <w:rPr>
          <w:rFonts w:hint="eastAsia" w:ascii="仿宋_GB2312" w:hAnsi="仿宋_GB2312" w:eastAsia="仿宋_GB2312" w:cs="仿宋_GB2312"/>
          <w:b/>
          <w:bCs/>
        </w:rPr>
        <w:t>全面落实党风廉政建设</w:t>
      </w:r>
      <w:r>
        <w:rPr>
          <w:rFonts w:hint="eastAsia" w:ascii="仿宋_GB2312" w:hAnsi="仿宋_GB2312" w:eastAsia="仿宋_GB2312" w:cs="仿宋_GB2312"/>
        </w:rPr>
        <w:t>。全县各级党委（党组）要牢牢牵住主体责任这个“牛鼻子”，党委（党组）书记要自觉履行第一责任人的职责，牢固树立“抓好党风廉政建设是本职，不抓党风廉政建设是失职，抓不好党风廉政建设是渎职”“权力就是责任、责任就要担当”“不负责、不担当就要追责问责”的意识，敢抓敢管、严抓严管，切实把管党治党的政治责任落到实处。严明党的政治纪律和政治规矩，坚决防止自由主义、分散主义、好人主义、个人主义，坚决纠正有令不行、有禁不止和上有政策、下有对策的行为。</w:t>
      </w:r>
    </w:p>
    <w:p>
      <w:pPr>
        <w:pStyle w:val="5"/>
        <w:jc w:val="center"/>
        <w:rPr>
          <w:rFonts w:ascii="仿宋_GB2312" w:hAnsi="仿宋_GB2312" w:eastAsia="仿宋_GB2312" w:cs="仿宋_GB2312"/>
          <w:b/>
          <w:bCs/>
          <w:sz w:val="32"/>
          <w:szCs w:val="32"/>
        </w:rPr>
      </w:pPr>
      <w:bookmarkStart w:id="345" w:name="_Toc21676"/>
      <w:bookmarkStart w:id="346" w:name="_Toc23858"/>
      <w:bookmarkStart w:id="347" w:name="_Toc25510"/>
      <w:bookmarkStart w:id="348" w:name="_Toc19454"/>
      <w:r>
        <w:rPr>
          <w:rFonts w:hint="eastAsia" w:ascii="仿宋_GB2312" w:hAnsi="仿宋_GB2312" w:eastAsia="仿宋_GB2312" w:cs="仿宋_GB2312"/>
          <w:b/>
          <w:bCs/>
          <w:sz w:val="32"/>
          <w:szCs w:val="32"/>
        </w:rPr>
        <w:t>第三节   加强党的基层组织建设</w:t>
      </w:r>
      <w:bookmarkEnd w:id="345"/>
      <w:bookmarkEnd w:id="346"/>
      <w:bookmarkEnd w:id="347"/>
      <w:bookmarkEnd w:id="348"/>
    </w:p>
    <w:p>
      <w:pPr>
        <w:ind w:firstLine="578"/>
        <w:rPr>
          <w:rFonts w:ascii="仿宋_GB2312" w:hAnsi="仿宋_GB2312" w:eastAsia="仿宋_GB2312" w:cs="仿宋_GB2312"/>
          <w:spacing w:val="4"/>
        </w:rPr>
      </w:pPr>
      <w:r>
        <w:rPr>
          <w:rFonts w:hint="eastAsia" w:ascii="仿宋_GB2312" w:hAnsi="仿宋_GB2312" w:eastAsia="仿宋_GB2312" w:cs="仿宋_GB2312"/>
          <w:b/>
          <w:bCs/>
          <w:spacing w:val="4"/>
        </w:rPr>
        <w:t>不断扩大“两个覆盖”。</w:t>
      </w:r>
      <w:r>
        <w:rPr>
          <w:rFonts w:hint="eastAsia" w:ascii="仿宋_GB2312" w:hAnsi="仿宋_GB2312" w:eastAsia="仿宋_GB2312" w:cs="仿宋_GB2312"/>
          <w:spacing w:val="4"/>
        </w:rPr>
        <w:t>大力实施“整镇推进、整县提升”示范县创建活动，持续深化“五面红旗村”创树，持续推进党支部标准化规范化建设。全面推进农村基层、城市、国有企业、机关事业单位、产业园区、中小学校、公立医院、“两新”组织等领域党建工作；探索建立联村党委、商圈党委、综合党委、产业支部等功能型党组织，通过建立“移动支部”“线上支部”等方式，推动党的组织和党的工作全面覆盖、有效覆盖。</w:t>
      </w:r>
    </w:p>
    <w:p>
      <w:pPr>
        <w:ind w:firstLine="578"/>
        <w:rPr>
          <w:rFonts w:ascii="仿宋_GB2312" w:hAnsi="仿宋_GB2312" w:eastAsia="仿宋_GB2312" w:cs="仿宋_GB2312"/>
          <w:spacing w:val="11"/>
        </w:rPr>
      </w:pPr>
      <w:r>
        <w:rPr>
          <w:rFonts w:hint="eastAsia" w:ascii="仿宋_GB2312" w:hAnsi="仿宋_GB2312" w:eastAsia="仿宋_GB2312" w:cs="仿宋_GB2312"/>
          <w:b/>
          <w:bCs/>
          <w:spacing w:val="4"/>
        </w:rPr>
        <w:t>筑牢坚强战斗堡垒。</w:t>
      </w:r>
      <w:r>
        <w:rPr>
          <w:rFonts w:hint="eastAsia" w:ascii="仿宋_GB2312" w:hAnsi="仿宋_GB2312" w:eastAsia="仿宋_GB2312" w:cs="仿宋_GB2312"/>
          <w:spacing w:val="4"/>
        </w:rPr>
        <w:t>全面推进党支部标准化规范化建设，形成“大抓基层、大抓支部”的良好态势；深入推进抓党建促脱贫攻坚，促乡村振兴工作，充分运用“五联五强”机制，发展壮大村级集体经济。以“两委一队三个人”为重点，抓好村干部队伍建设，扎实推进支书主任“一肩挑”。实行村党组织书记县级备案管理。落实选派“第一书记”和驻村工作组长效机制。</w:t>
      </w:r>
    </w:p>
    <w:p>
      <w:pPr>
        <w:pStyle w:val="5"/>
        <w:jc w:val="center"/>
        <w:rPr>
          <w:rFonts w:ascii="仿宋_GB2312" w:hAnsi="仿宋_GB2312" w:eastAsia="仿宋_GB2312" w:cs="仿宋_GB2312"/>
          <w:b/>
          <w:bCs/>
          <w:sz w:val="32"/>
          <w:szCs w:val="32"/>
        </w:rPr>
      </w:pPr>
      <w:bookmarkStart w:id="349" w:name="_Toc22742"/>
      <w:bookmarkStart w:id="350" w:name="_Toc29594"/>
      <w:bookmarkStart w:id="351" w:name="_Toc18470"/>
      <w:bookmarkStart w:id="352" w:name="_Toc11651"/>
      <w:r>
        <w:rPr>
          <w:rFonts w:hint="eastAsia" w:ascii="仿宋_GB2312" w:hAnsi="仿宋_GB2312" w:eastAsia="仿宋_GB2312" w:cs="仿宋_GB2312"/>
          <w:b/>
          <w:bCs/>
          <w:sz w:val="32"/>
          <w:szCs w:val="32"/>
        </w:rPr>
        <w:t>第四节   扎实推进社会主义政治建设</w:t>
      </w:r>
      <w:bookmarkEnd w:id="349"/>
      <w:bookmarkEnd w:id="350"/>
      <w:bookmarkEnd w:id="351"/>
      <w:bookmarkEnd w:id="352"/>
    </w:p>
    <w:p>
      <w:pPr>
        <w:pStyle w:val="8"/>
        <w:ind w:firstLine="576"/>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坚持党的领导、人民当家作主、依法治国有机统一，坚定不移走中国特色社会主义政治发展道路。坚持人民代表大会制度，加强对“一府一委两院”的监督，提高人大履职能力，增强人大整体功效。坚持中国共产党领导的多党合作和政治协商制度，加强人民政协专门协商机构建设，提高政治协商、民主监督、参政议政水平，更好凝聚共识。健全基层群众自治制度，提高基层治理水平。完善大统战工作格局，发挥统一战线凝心聚力的优势和作用。贯彻落实党的民族宗教政策，提高依法管理民族宗教事务的能力和水平，努力营造民族团结、宗教和顺、社会和谐的良好氛围。加强工会、共青团、妇联等群团组织建设，健全联系广泛、服务群众的群团工作体系。坚持党管武装，扎实做好双拥共建工作，推动军民融合深度发展。</w:t>
      </w:r>
    </w:p>
    <w:p>
      <w:pPr>
        <w:pStyle w:val="5"/>
        <w:jc w:val="center"/>
        <w:rPr>
          <w:rFonts w:ascii="仿宋_GB2312" w:hAnsi="仿宋_GB2312" w:eastAsia="仿宋_GB2312" w:cs="仿宋_GB2312"/>
          <w:b/>
          <w:bCs/>
          <w:sz w:val="32"/>
          <w:szCs w:val="32"/>
        </w:rPr>
      </w:pPr>
      <w:bookmarkStart w:id="353" w:name="_Toc29284"/>
      <w:bookmarkStart w:id="354" w:name="_Toc8900"/>
      <w:bookmarkStart w:id="355" w:name="_Toc19155"/>
      <w:bookmarkStart w:id="356" w:name="_Toc2839"/>
      <w:r>
        <w:rPr>
          <w:rFonts w:hint="eastAsia" w:ascii="仿宋_GB2312" w:hAnsi="仿宋_GB2312" w:eastAsia="仿宋_GB2312" w:cs="仿宋_GB2312"/>
          <w:b/>
          <w:bCs/>
          <w:sz w:val="32"/>
          <w:szCs w:val="32"/>
        </w:rPr>
        <w:t>第五节   坚持从严治吏</w:t>
      </w:r>
      <w:bookmarkEnd w:id="353"/>
      <w:bookmarkEnd w:id="354"/>
      <w:bookmarkEnd w:id="355"/>
      <w:bookmarkEnd w:id="356"/>
    </w:p>
    <w:p>
      <w:pPr>
        <w:ind w:firstLine="562"/>
        <w:rPr>
          <w:rFonts w:ascii="仿宋_GB2312" w:hAnsi="仿宋_GB2312" w:eastAsia="仿宋_GB2312" w:cs="仿宋_GB2312"/>
        </w:rPr>
      </w:pPr>
      <w:r>
        <w:rPr>
          <w:rFonts w:hint="eastAsia" w:ascii="仿宋_GB2312" w:hAnsi="仿宋_GB2312" w:eastAsia="仿宋_GB2312" w:cs="仿宋_GB2312"/>
          <w:b/>
          <w:bCs/>
        </w:rPr>
        <w:t>加强干部队伍建设与优化。</w:t>
      </w:r>
      <w:r>
        <w:rPr>
          <w:rFonts w:hint="eastAsia" w:ascii="仿宋_GB2312" w:hAnsi="仿宋_GB2312" w:eastAsia="仿宋_GB2312" w:cs="仿宋_GB2312"/>
        </w:rPr>
        <w:t>认真贯彻落实新时期好干部标准，坚持“德才兼备、以德为先、以廉为基”用人导向，严格执行《党政领导干部选拔任用工作条例》，完善干部选拔任用“三个一批”工作机制，营造风清气正的用人环境，坚决把好干部选出来用起来，着力打造一支政治强、懂专业、善治理、敢担当、作风正的干部队伍。优化领导班子知识结构和专业结构，培养选拔政治强、业务精、善治理、敢担当、作风正的领导干部，提高领导发展的专业化能力水平。</w:t>
      </w:r>
    </w:p>
    <w:p>
      <w:pPr>
        <w:ind w:firstLine="562"/>
        <w:rPr>
          <w:rFonts w:ascii="仿宋_GB2312" w:hAnsi="仿宋_GB2312" w:eastAsia="仿宋_GB2312" w:cs="仿宋_GB2312"/>
        </w:rPr>
      </w:pPr>
      <w:r>
        <w:rPr>
          <w:rFonts w:hint="eastAsia" w:ascii="仿宋_GB2312" w:hAnsi="仿宋_GB2312" w:eastAsia="仿宋_GB2312" w:cs="仿宋_GB2312"/>
          <w:b/>
          <w:bCs/>
        </w:rPr>
        <w:t>强化干部考核与监督管理。</w:t>
      </w:r>
      <w:r>
        <w:rPr>
          <w:rFonts w:hint="eastAsia" w:ascii="仿宋_GB2312" w:hAnsi="仿宋_GB2312" w:eastAsia="仿宋_GB2312" w:cs="仿宋_GB2312"/>
        </w:rPr>
        <w:t>加强对各级领导班子的动态研判和对干部的日常考核考察，健全完善干部调整退出的常态化机制，推进干部能上能下。强化对领导干部特别是“一把手”的监督管理，全方位加强干部监督工作，防止带病提拔。加强干部作风和能力培训，建立健全从严治吏长效机制。深化干部人事制度改革，探索建立政绩考核评价体系和奖惩机制，强化干部考核导向作用，保护和调动各级干部工作积极性、主动性、创造性。</w:t>
      </w:r>
    </w:p>
    <w:p>
      <w:pPr>
        <w:pStyle w:val="5"/>
        <w:jc w:val="center"/>
        <w:rPr>
          <w:rFonts w:ascii="仿宋_GB2312" w:hAnsi="仿宋_GB2312" w:eastAsia="仿宋_GB2312" w:cs="仿宋_GB2312"/>
          <w:b/>
          <w:bCs/>
          <w:sz w:val="32"/>
          <w:szCs w:val="32"/>
        </w:rPr>
      </w:pPr>
      <w:bookmarkStart w:id="357" w:name="_Toc15021"/>
      <w:bookmarkStart w:id="358" w:name="_Toc20162"/>
      <w:bookmarkStart w:id="359" w:name="_Toc23747"/>
      <w:bookmarkStart w:id="360" w:name="_Toc7104"/>
      <w:r>
        <w:rPr>
          <w:rFonts w:hint="eastAsia" w:ascii="仿宋_GB2312" w:hAnsi="仿宋_GB2312" w:eastAsia="仿宋_GB2312" w:cs="仿宋_GB2312"/>
          <w:b/>
          <w:bCs/>
          <w:sz w:val="32"/>
          <w:szCs w:val="32"/>
        </w:rPr>
        <w:t>第六节   科学实施规划</w:t>
      </w:r>
      <w:bookmarkEnd w:id="357"/>
      <w:bookmarkEnd w:id="358"/>
      <w:bookmarkEnd w:id="359"/>
      <w:bookmarkEnd w:id="360"/>
    </w:p>
    <w:p>
      <w:pPr>
        <w:ind w:firstLine="560"/>
        <w:rPr>
          <w:rFonts w:ascii="仿宋_GB2312" w:hAnsi="仿宋_GB2312" w:eastAsia="仿宋_GB2312" w:cs="仿宋_GB2312"/>
        </w:rPr>
      </w:pPr>
      <w:r>
        <w:rPr>
          <w:rFonts w:hint="eastAsia" w:ascii="仿宋_GB2312" w:hAnsi="仿宋_GB2312" w:eastAsia="仿宋_GB2312" w:cs="仿宋_GB2312"/>
        </w:rPr>
        <w:t>各级各部门要正确履行职责，按照《习水县国民经济和社会发展第十四个五年规划纲要》提出的目标任务，科学分解各项重点任务，制定具体实施方案，推动“十四五”时期的各项重点工作落到实处。要发挥市场对资源配置的决定性作用，营造良好政策环境、体制环境和法制环境，激发市场主体的积极性，调控引导社会资源，合理配置公共资源，保障《习水县国民经济和社会发展第十四个五年规划纲要》顺利实施。</w:t>
      </w:r>
    </w:p>
    <w:p>
      <w:pPr>
        <w:ind w:firstLine="560"/>
        <w:rPr>
          <w:rFonts w:ascii="仿宋_GB2312" w:hAnsi="仿宋_GB2312" w:eastAsia="仿宋_GB2312" w:cs="仿宋_GB2312"/>
        </w:rPr>
      </w:pPr>
      <w:r>
        <w:rPr>
          <w:rFonts w:hint="eastAsia" w:ascii="仿宋_GB2312" w:hAnsi="仿宋_GB2312" w:eastAsia="仿宋_GB2312" w:cs="仿宋_GB2312"/>
        </w:rPr>
        <w:t>建立以《习水县国民经济和社会发展第十四个五年规划纲要》为统领，专项规划、城乡规划和土地利用规划为支撑，各类规划定位清晰，功能互补的规划体系。要加强各类规划与《习水县国民经济和社会发展第十四个五年规划纲要》的衔接协调，确保在总体要求上方向一致，在空间配置上相互协调，在时序安排上科学有序，实现规划对各种资源的最优组合与布局，更好地促进经济社会发展。年度计划要与总体规划衔接并予以滚动落实。</w:t>
      </w:r>
    </w:p>
    <w:p>
      <w:pPr>
        <w:ind w:firstLine="560"/>
        <w:rPr>
          <w:rFonts w:ascii="仿宋_GB2312" w:hAnsi="仿宋_GB2312" w:eastAsia="仿宋_GB2312" w:cs="仿宋_GB2312"/>
        </w:rPr>
      </w:pPr>
      <w:r>
        <w:rPr>
          <w:rFonts w:hint="eastAsia" w:ascii="仿宋_GB2312" w:hAnsi="仿宋_GB2312" w:eastAsia="仿宋_GB2312" w:cs="仿宋_GB2312"/>
        </w:rPr>
        <w:t>《习水县国民经济和社会发展第十四个五年规划纲要》提出的约束性指标是县人民政府对全县人民的庄严承诺，要分解落实到各部门、各乡镇（街道办事处），并纳入综合评价和绩效考核。对规划的主要目标完成情况、战略重点实施情况、重大项目进展情况，要推行第三方评估。建立规划实施督查检查机制，实行年度巡查报告制度、规划中期评估制度，根据经济运行情况及发展实际，按程序对规划进行必要调整。</w:t>
      </w:r>
      <w:bookmarkEnd w:id="337"/>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napToGrid w:val="0"/>
                            <w:spacing w:before="120" w:after="120"/>
                            <w:ind w:firstLine="0" w:firstLineChars="0"/>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snapToGrid w:val="0"/>
                      <w:spacing w:before="120" w:after="120"/>
                      <w:ind w:firstLine="0" w:firstLineChars="0"/>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9C0309"/>
    <w:rsid w:val="0000576B"/>
    <w:rsid w:val="00011FEE"/>
    <w:rsid w:val="000305CC"/>
    <w:rsid w:val="00030AA9"/>
    <w:rsid w:val="000428AE"/>
    <w:rsid w:val="00045196"/>
    <w:rsid w:val="00056896"/>
    <w:rsid w:val="000764A8"/>
    <w:rsid w:val="00077CE0"/>
    <w:rsid w:val="000905E8"/>
    <w:rsid w:val="000948CA"/>
    <w:rsid w:val="000B4DF4"/>
    <w:rsid w:val="000B6178"/>
    <w:rsid w:val="000E31D0"/>
    <w:rsid w:val="000E66CC"/>
    <w:rsid w:val="001316CD"/>
    <w:rsid w:val="00183F48"/>
    <w:rsid w:val="0019130B"/>
    <w:rsid w:val="001944A0"/>
    <w:rsid w:val="001C018A"/>
    <w:rsid w:val="001D1BCC"/>
    <w:rsid w:val="00202B3B"/>
    <w:rsid w:val="00205CB5"/>
    <w:rsid w:val="00224B5E"/>
    <w:rsid w:val="00250A84"/>
    <w:rsid w:val="002554C5"/>
    <w:rsid w:val="00272225"/>
    <w:rsid w:val="0027249B"/>
    <w:rsid w:val="002A3299"/>
    <w:rsid w:val="002C1300"/>
    <w:rsid w:val="002D5229"/>
    <w:rsid w:val="002F0415"/>
    <w:rsid w:val="002F3E2E"/>
    <w:rsid w:val="003379AB"/>
    <w:rsid w:val="00373FF4"/>
    <w:rsid w:val="00385A96"/>
    <w:rsid w:val="003918F9"/>
    <w:rsid w:val="003A0A5B"/>
    <w:rsid w:val="003A3E9D"/>
    <w:rsid w:val="003A6E21"/>
    <w:rsid w:val="003D5D13"/>
    <w:rsid w:val="003E0688"/>
    <w:rsid w:val="003E4E13"/>
    <w:rsid w:val="0041496D"/>
    <w:rsid w:val="00421906"/>
    <w:rsid w:val="004229F3"/>
    <w:rsid w:val="00432EC3"/>
    <w:rsid w:val="00450102"/>
    <w:rsid w:val="00467D6F"/>
    <w:rsid w:val="00473147"/>
    <w:rsid w:val="004932B0"/>
    <w:rsid w:val="004B763C"/>
    <w:rsid w:val="004E061C"/>
    <w:rsid w:val="004F500C"/>
    <w:rsid w:val="005073C4"/>
    <w:rsid w:val="00534676"/>
    <w:rsid w:val="00536013"/>
    <w:rsid w:val="00542912"/>
    <w:rsid w:val="005843F6"/>
    <w:rsid w:val="00591749"/>
    <w:rsid w:val="00596A71"/>
    <w:rsid w:val="005A1C91"/>
    <w:rsid w:val="005B7E37"/>
    <w:rsid w:val="005D3308"/>
    <w:rsid w:val="005F4A5D"/>
    <w:rsid w:val="006007CA"/>
    <w:rsid w:val="0060451A"/>
    <w:rsid w:val="00631AB4"/>
    <w:rsid w:val="00661E1A"/>
    <w:rsid w:val="006C28EC"/>
    <w:rsid w:val="006C3158"/>
    <w:rsid w:val="007040F1"/>
    <w:rsid w:val="00710952"/>
    <w:rsid w:val="00752255"/>
    <w:rsid w:val="007730C6"/>
    <w:rsid w:val="007A1157"/>
    <w:rsid w:val="007A5DC4"/>
    <w:rsid w:val="007B5B3B"/>
    <w:rsid w:val="00807940"/>
    <w:rsid w:val="00807E0B"/>
    <w:rsid w:val="00863D8B"/>
    <w:rsid w:val="00871E9E"/>
    <w:rsid w:val="008759D4"/>
    <w:rsid w:val="008A4672"/>
    <w:rsid w:val="008A611C"/>
    <w:rsid w:val="008A7C6E"/>
    <w:rsid w:val="008B1001"/>
    <w:rsid w:val="008C0D3D"/>
    <w:rsid w:val="008D5930"/>
    <w:rsid w:val="008F46C8"/>
    <w:rsid w:val="008F70A8"/>
    <w:rsid w:val="00912607"/>
    <w:rsid w:val="0092201A"/>
    <w:rsid w:val="00934952"/>
    <w:rsid w:val="0094715B"/>
    <w:rsid w:val="0095355D"/>
    <w:rsid w:val="00964E9A"/>
    <w:rsid w:val="0097572A"/>
    <w:rsid w:val="009770E2"/>
    <w:rsid w:val="009F4957"/>
    <w:rsid w:val="00A05276"/>
    <w:rsid w:val="00A20159"/>
    <w:rsid w:val="00A27319"/>
    <w:rsid w:val="00A309EC"/>
    <w:rsid w:val="00A75AB1"/>
    <w:rsid w:val="00AA29BF"/>
    <w:rsid w:val="00AA63D1"/>
    <w:rsid w:val="00AB1E04"/>
    <w:rsid w:val="00AC2265"/>
    <w:rsid w:val="00AC4619"/>
    <w:rsid w:val="00AC4954"/>
    <w:rsid w:val="00AE7451"/>
    <w:rsid w:val="00AF55D5"/>
    <w:rsid w:val="00B00517"/>
    <w:rsid w:val="00B01D25"/>
    <w:rsid w:val="00B14857"/>
    <w:rsid w:val="00B65D33"/>
    <w:rsid w:val="00B771BB"/>
    <w:rsid w:val="00B93459"/>
    <w:rsid w:val="00BB63F9"/>
    <w:rsid w:val="00BD0148"/>
    <w:rsid w:val="00C178A5"/>
    <w:rsid w:val="00C67FD9"/>
    <w:rsid w:val="00C76B6F"/>
    <w:rsid w:val="00C83086"/>
    <w:rsid w:val="00CA3112"/>
    <w:rsid w:val="00CA69F7"/>
    <w:rsid w:val="00D16A7B"/>
    <w:rsid w:val="00D24F90"/>
    <w:rsid w:val="00D45132"/>
    <w:rsid w:val="00D77F7F"/>
    <w:rsid w:val="00D842BE"/>
    <w:rsid w:val="00D953D9"/>
    <w:rsid w:val="00DB141B"/>
    <w:rsid w:val="00DC52D4"/>
    <w:rsid w:val="00DC5E3A"/>
    <w:rsid w:val="00DD25F0"/>
    <w:rsid w:val="00DE5C82"/>
    <w:rsid w:val="00E04A3C"/>
    <w:rsid w:val="00E13121"/>
    <w:rsid w:val="00E271F8"/>
    <w:rsid w:val="00E562E8"/>
    <w:rsid w:val="00E775A6"/>
    <w:rsid w:val="00E866A1"/>
    <w:rsid w:val="00EE3669"/>
    <w:rsid w:val="00EE7EAD"/>
    <w:rsid w:val="00F01A77"/>
    <w:rsid w:val="00F279BB"/>
    <w:rsid w:val="00F66C47"/>
    <w:rsid w:val="00F840AC"/>
    <w:rsid w:val="00FA7998"/>
    <w:rsid w:val="00FB51FC"/>
    <w:rsid w:val="01084ADE"/>
    <w:rsid w:val="03323E20"/>
    <w:rsid w:val="03AD0495"/>
    <w:rsid w:val="03CA052C"/>
    <w:rsid w:val="046F596D"/>
    <w:rsid w:val="04E65392"/>
    <w:rsid w:val="05125B4B"/>
    <w:rsid w:val="06277DAD"/>
    <w:rsid w:val="06912372"/>
    <w:rsid w:val="06DA4C83"/>
    <w:rsid w:val="07ED25B5"/>
    <w:rsid w:val="08DF1294"/>
    <w:rsid w:val="09774B8C"/>
    <w:rsid w:val="0A600DE9"/>
    <w:rsid w:val="0B0B1513"/>
    <w:rsid w:val="0B2D3A91"/>
    <w:rsid w:val="0C3B31A1"/>
    <w:rsid w:val="0CD62003"/>
    <w:rsid w:val="0D5E7163"/>
    <w:rsid w:val="0D8E3519"/>
    <w:rsid w:val="0DC5442B"/>
    <w:rsid w:val="0E4F763A"/>
    <w:rsid w:val="0E4F79CA"/>
    <w:rsid w:val="0EE621DC"/>
    <w:rsid w:val="10357B11"/>
    <w:rsid w:val="108839C9"/>
    <w:rsid w:val="10C966A8"/>
    <w:rsid w:val="10DB18BF"/>
    <w:rsid w:val="12393AD6"/>
    <w:rsid w:val="129C0309"/>
    <w:rsid w:val="13125994"/>
    <w:rsid w:val="14886351"/>
    <w:rsid w:val="14BF78B5"/>
    <w:rsid w:val="14EA29A6"/>
    <w:rsid w:val="15155C22"/>
    <w:rsid w:val="153426C5"/>
    <w:rsid w:val="15A01B9F"/>
    <w:rsid w:val="16491B34"/>
    <w:rsid w:val="17210B9B"/>
    <w:rsid w:val="184A695D"/>
    <w:rsid w:val="19C93D2F"/>
    <w:rsid w:val="1AB1003F"/>
    <w:rsid w:val="1AD00BF4"/>
    <w:rsid w:val="1B7066FE"/>
    <w:rsid w:val="1B790BD2"/>
    <w:rsid w:val="1CA360A9"/>
    <w:rsid w:val="1D161C42"/>
    <w:rsid w:val="1D172ACE"/>
    <w:rsid w:val="1E246130"/>
    <w:rsid w:val="201172CE"/>
    <w:rsid w:val="21247A74"/>
    <w:rsid w:val="22AB3155"/>
    <w:rsid w:val="22B35CBD"/>
    <w:rsid w:val="23536AA7"/>
    <w:rsid w:val="236A406C"/>
    <w:rsid w:val="245F7C44"/>
    <w:rsid w:val="27021CE4"/>
    <w:rsid w:val="277E097C"/>
    <w:rsid w:val="289822BF"/>
    <w:rsid w:val="28D772EA"/>
    <w:rsid w:val="293A1A44"/>
    <w:rsid w:val="294619BA"/>
    <w:rsid w:val="29FA60BD"/>
    <w:rsid w:val="2C7F013F"/>
    <w:rsid w:val="2C8D5AE6"/>
    <w:rsid w:val="2D034C9A"/>
    <w:rsid w:val="2E655B9B"/>
    <w:rsid w:val="2E6F6B06"/>
    <w:rsid w:val="2EFE32D6"/>
    <w:rsid w:val="2FAD6A82"/>
    <w:rsid w:val="2FB93F52"/>
    <w:rsid w:val="309B1082"/>
    <w:rsid w:val="329B76D3"/>
    <w:rsid w:val="34AC78FF"/>
    <w:rsid w:val="352365D8"/>
    <w:rsid w:val="360E5499"/>
    <w:rsid w:val="361630D3"/>
    <w:rsid w:val="36F148A2"/>
    <w:rsid w:val="376F3E64"/>
    <w:rsid w:val="37707876"/>
    <w:rsid w:val="37912794"/>
    <w:rsid w:val="385B080A"/>
    <w:rsid w:val="38C44843"/>
    <w:rsid w:val="3A604007"/>
    <w:rsid w:val="3ADA6B23"/>
    <w:rsid w:val="3BD51D5B"/>
    <w:rsid w:val="3D637FF9"/>
    <w:rsid w:val="3D9E2457"/>
    <w:rsid w:val="3F312507"/>
    <w:rsid w:val="3F6E0E0D"/>
    <w:rsid w:val="403833EF"/>
    <w:rsid w:val="409F0605"/>
    <w:rsid w:val="40DE4AC2"/>
    <w:rsid w:val="41032D85"/>
    <w:rsid w:val="41CB0B79"/>
    <w:rsid w:val="41CE3367"/>
    <w:rsid w:val="42310D45"/>
    <w:rsid w:val="42925B6F"/>
    <w:rsid w:val="42D1010E"/>
    <w:rsid w:val="437149D6"/>
    <w:rsid w:val="439F26C4"/>
    <w:rsid w:val="43BB41C1"/>
    <w:rsid w:val="44381CD5"/>
    <w:rsid w:val="447C351D"/>
    <w:rsid w:val="45BB013D"/>
    <w:rsid w:val="460A0F78"/>
    <w:rsid w:val="469F5EEA"/>
    <w:rsid w:val="46EF17F4"/>
    <w:rsid w:val="48230158"/>
    <w:rsid w:val="48F53025"/>
    <w:rsid w:val="49262F85"/>
    <w:rsid w:val="4961081F"/>
    <w:rsid w:val="4994519D"/>
    <w:rsid w:val="4BAB3869"/>
    <w:rsid w:val="4C833B9C"/>
    <w:rsid w:val="4E421222"/>
    <w:rsid w:val="51194532"/>
    <w:rsid w:val="515E3486"/>
    <w:rsid w:val="5180524A"/>
    <w:rsid w:val="519F5820"/>
    <w:rsid w:val="520E7253"/>
    <w:rsid w:val="524B3527"/>
    <w:rsid w:val="529112E2"/>
    <w:rsid w:val="52DD3914"/>
    <w:rsid w:val="54546AD3"/>
    <w:rsid w:val="54C50D37"/>
    <w:rsid w:val="54FB1FD7"/>
    <w:rsid w:val="558A0F2F"/>
    <w:rsid w:val="5595521D"/>
    <w:rsid w:val="56026AC5"/>
    <w:rsid w:val="57316883"/>
    <w:rsid w:val="578B28E8"/>
    <w:rsid w:val="57C953D9"/>
    <w:rsid w:val="580958F7"/>
    <w:rsid w:val="58977623"/>
    <w:rsid w:val="58D73872"/>
    <w:rsid w:val="59411193"/>
    <w:rsid w:val="59D959E3"/>
    <w:rsid w:val="5A0D75A9"/>
    <w:rsid w:val="5A326C9C"/>
    <w:rsid w:val="5A5074C3"/>
    <w:rsid w:val="5A804DE7"/>
    <w:rsid w:val="5A8214B1"/>
    <w:rsid w:val="5B00059E"/>
    <w:rsid w:val="5C320A72"/>
    <w:rsid w:val="5D4E4A46"/>
    <w:rsid w:val="5E4E4C32"/>
    <w:rsid w:val="5F584A23"/>
    <w:rsid w:val="5F9433E1"/>
    <w:rsid w:val="61A0126C"/>
    <w:rsid w:val="61CE71F5"/>
    <w:rsid w:val="61F55C39"/>
    <w:rsid w:val="62360F9B"/>
    <w:rsid w:val="6358576F"/>
    <w:rsid w:val="637F2310"/>
    <w:rsid w:val="63E16B4A"/>
    <w:rsid w:val="64574B58"/>
    <w:rsid w:val="64E21CAB"/>
    <w:rsid w:val="65485ED6"/>
    <w:rsid w:val="65BC7F06"/>
    <w:rsid w:val="66BB2564"/>
    <w:rsid w:val="66CF584A"/>
    <w:rsid w:val="68500D19"/>
    <w:rsid w:val="687D66D2"/>
    <w:rsid w:val="69347848"/>
    <w:rsid w:val="69740BBC"/>
    <w:rsid w:val="69C02559"/>
    <w:rsid w:val="69E84145"/>
    <w:rsid w:val="6A1A032C"/>
    <w:rsid w:val="6B4C225E"/>
    <w:rsid w:val="6BCE05A4"/>
    <w:rsid w:val="6C777954"/>
    <w:rsid w:val="6C880ECE"/>
    <w:rsid w:val="6D3A4F68"/>
    <w:rsid w:val="6E307E09"/>
    <w:rsid w:val="6E387643"/>
    <w:rsid w:val="6EF23ADF"/>
    <w:rsid w:val="6EF73CD9"/>
    <w:rsid w:val="70765EBF"/>
    <w:rsid w:val="71030EFF"/>
    <w:rsid w:val="71416902"/>
    <w:rsid w:val="72C534B1"/>
    <w:rsid w:val="72C91AA0"/>
    <w:rsid w:val="731974CD"/>
    <w:rsid w:val="73697D8C"/>
    <w:rsid w:val="73AB574F"/>
    <w:rsid w:val="741B2D8B"/>
    <w:rsid w:val="74B2177E"/>
    <w:rsid w:val="76C016D9"/>
    <w:rsid w:val="774E6BE9"/>
    <w:rsid w:val="7769405A"/>
    <w:rsid w:val="78A550AF"/>
    <w:rsid w:val="7A8103E1"/>
    <w:rsid w:val="7AD7468F"/>
    <w:rsid w:val="7B4944F8"/>
    <w:rsid w:val="7B692110"/>
    <w:rsid w:val="7D190867"/>
    <w:rsid w:val="7D957045"/>
    <w:rsid w:val="7E506859"/>
    <w:rsid w:val="7EC0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仿宋" w:hAnsi="仿宋" w:eastAsia="仿宋" w:cs="仿宋"/>
      <w:sz w:val="28"/>
      <w:szCs w:val="28"/>
      <w:shd w:val="clear" w:color="auto" w:fill="FFFFFF"/>
      <w:lang w:val="en-US" w:eastAsia="zh-CN" w:bidi="ar-SA"/>
    </w:rPr>
  </w:style>
  <w:style w:type="paragraph" w:styleId="4">
    <w:name w:val="heading 1"/>
    <w:basedOn w:val="1"/>
    <w:next w:val="1"/>
    <w:qFormat/>
    <w:uiPriority w:val="0"/>
    <w:pPr>
      <w:keepNext/>
      <w:keepLines/>
      <w:spacing w:before="240" w:after="240"/>
      <w:ind w:firstLine="0" w:firstLineChars="0"/>
      <w:outlineLvl w:val="0"/>
    </w:pPr>
    <w:rPr>
      <w:rFonts w:ascii="黑体" w:hAnsi="黑体" w:eastAsia="黑体" w:cs="黑体"/>
      <w:b/>
      <w:kern w:val="44"/>
      <w:sz w:val="36"/>
      <w:szCs w:val="36"/>
    </w:rPr>
  </w:style>
  <w:style w:type="paragraph" w:styleId="5">
    <w:name w:val="heading 2"/>
    <w:basedOn w:val="1"/>
    <w:next w:val="1"/>
    <w:unhideWhenUsed/>
    <w:qFormat/>
    <w:uiPriority w:val="0"/>
    <w:pPr>
      <w:keepNext/>
      <w:keepLines/>
      <w:autoSpaceDE w:val="0"/>
      <w:autoSpaceDN w:val="0"/>
      <w:snapToGrid w:val="0"/>
      <w:spacing w:before="312" w:beforeLines="100" w:after="312" w:afterLines="100" w:line="240" w:lineRule="auto"/>
      <w:ind w:firstLine="235" w:firstLineChars="73"/>
      <w:outlineLvl w:val="1"/>
    </w:pPr>
    <w:rPr>
      <w:rFonts w:ascii="Arial" w:hAnsi="Arial" w:eastAsia="黑体" w:cs="Times New Roma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hint="eastAsia" w:cs="Times New Roman"/>
    </w:rPr>
  </w:style>
  <w:style w:type="paragraph" w:styleId="3">
    <w:name w:val="Body Text Indent"/>
    <w:basedOn w:val="1"/>
    <w:qFormat/>
    <w:uiPriority w:val="0"/>
    <w:pPr>
      <w:spacing w:after="120"/>
      <w:ind w:left="420" w:leftChars="200"/>
    </w:pPr>
  </w:style>
  <w:style w:type="paragraph" w:styleId="6">
    <w:name w:val="table of authorities"/>
    <w:basedOn w:val="1"/>
    <w:next w:val="1"/>
    <w:qFormat/>
    <w:uiPriority w:val="0"/>
    <w:pPr>
      <w:ind w:left="420" w:leftChars="200"/>
    </w:pPr>
  </w:style>
  <w:style w:type="paragraph" w:styleId="7">
    <w:name w:val="Body Text"/>
    <w:basedOn w:val="1"/>
    <w:qFormat/>
    <w:uiPriority w:val="99"/>
    <w:pPr>
      <w:spacing w:after="120"/>
    </w:pPr>
  </w:style>
  <w:style w:type="paragraph" w:styleId="8">
    <w:name w:val="Plain Text"/>
    <w:basedOn w:val="1"/>
    <w:qFormat/>
    <w:uiPriority w:val="0"/>
    <w:rPr>
      <w:rFonts w:ascii="宋体" w:hAnsi="Courier New" w:eastAsia="宋体" w:cs="Courier New"/>
      <w:sz w:val="21"/>
      <w:szCs w:val="21"/>
    </w:rPr>
  </w:style>
  <w:style w:type="paragraph" w:styleId="9">
    <w:name w:val="footer"/>
    <w:basedOn w:val="1"/>
    <w:next w:val="1"/>
    <w:unhideWhenUsed/>
    <w:qFormat/>
    <w:uiPriority w:val="99"/>
    <w:pPr>
      <w:tabs>
        <w:tab w:val="center" w:pos="4153"/>
        <w:tab w:val="right" w:pos="8306"/>
      </w:tabs>
      <w:spacing w:line="240" w:lineRule="auto"/>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Title"/>
    <w:basedOn w:val="1"/>
    <w:next w:val="1"/>
    <w:qFormat/>
    <w:uiPriority w:val="0"/>
    <w:pPr>
      <w:spacing w:before="240" w:after="60"/>
      <w:jc w:val="left"/>
      <w:outlineLvl w:val="0"/>
    </w:pPr>
    <w:rPr>
      <w:rFonts w:asciiTheme="majorHAnsi" w:hAnsiTheme="majorHAnsi" w:eastAsiaTheme="majorEastAsia"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ascii="楷体" w:hAnsi="楷体" w:eastAsia="楷体" w:cs="Times New Roman"/>
      <w:sz w:val="24"/>
      <w:szCs w:val="24"/>
    </w:rPr>
  </w:style>
  <w:style w:type="paragraph" w:customStyle="1" w:styleId="18">
    <w:name w:val="正文1"/>
    <w:basedOn w:val="1"/>
    <w:qFormat/>
    <w:uiPriority w:val="99"/>
    <w:pPr>
      <w:adjustRightInd w:val="0"/>
      <w:spacing w:line="318" w:lineRule="atLeast"/>
      <w:ind w:left="369" w:firstLine="369"/>
      <w:textAlignment w:val="baseline"/>
    </w:pPr>
    <w:rPr>
      <w:rFonts w:ascii="宋体"/>
      <w:szCs w:val="20"/>
    </w:rPr>
  </w:style>
  <w:style w:type="paragraph" w:customStyle="1" w:styleId="19">
    <w:name w:val="表格样式"/>
    <w:basedOn w:val="1"/>
    <w:qFormat/>
    <w:uiPriority w:val="0"/>
    <w:pPr>
      <w:ind w:left="140" w:leftChars="50" w:right="140" w:rightChars="50"/>
    </w:pPr>
    <w:rPr>
      <w:rFonts w:eastAsia="楷体"/>
      <w:sz w:val="24"/>
    </w:rPr>
  </w:style>
  <w:style w:type="paragraph" w:styleId="20">
    <w:name w:val="List Paragraph"/>
    <w:basedOn w:val="1"/>
    <w:qFormat/>
    <w:uiPriority w:val="34"/>
    <w:pPr>
      <w:ind w:firstLine="420"/>
    </w:p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font81"/>
    <w:basedOn w:val="16"/>
    <w:qFormat/>
    <w:uiPriority w:val="0"/>
    <w:rPr>
      <w:rFonts w:hint="default" w:ascii="仿宋_GB2312" w:eastAsia="仿宋_GB2312" w:cs="仿宋_GB2312"/>
      <w:color w:val="000000"/>
      <w:sz w:val="24"/>
      <w:szCs w:val="24"/>
      <w:u w:val="none"/>
    </w:rPr>
  </w:style>
  <w:style w:type="character" w:customStyle="1" w:styleId="24">
    <w:name w:val="font11"/>
    <w:basedOn w:val="16"/>
    <w:qFormat/>
    <w:uiPriority w:val="0"/>
    <w:rPr>
      <w:rFonts w:hint="eastAsia" w:ascii="宋体" w:hAnsi="宋体" w:eastAsia="宋体" w:cs="宋体"/>
      <w:color w:val="000000"/>
      <w:sz w:val="24"/>
      <w:szCs w:val="24"/>
      <w:u w:val="none"/>
    </w:rPr>
  </w:style>
  <w:style w:type="character" w:customStyle="1" w:styleId="25">
    <w:name w:val="font101"/>
    <w:basedOn w:val="16"/>
    <w:qFormat/>
    <w:uiPriority w:val="0"/>
    <w:rPr>
      <w:rFonts w:hint="default" w:ascii="仿宋_GB2312" w:eastAsia="仿宋_GB2312" w:cs="仿宋_GB2312"/>
      <w:color w:val="000000"/>
      <w:sz w:val="24"/>
      <w:szCs w:val="24"/>
      <w:u w:val="none"/>
    </w:rPr>
  </w:style>
  <w:style w:type="character" w:customStyle="1" w:styleId="26">
    <w:name w:val="font61"/>
    <w:basedOn w:val="16"/>
    <w:qFormat/>
    <w:uiPriority w:val="0"/>
    <w:rPr>
      <w:rFonts w:hint="eastAsia" w:ascii="宋体" w:hAnsi="宋体" w:eastAsia="宋体" w:cs="宋体"/>
      <w:color w:val="000000"/>
      <w:sz w:val="24"/>
      <w:szCs w:val="24"/>
      <w:u w:val="none"/>
    </w:rPr>
  </w:style>
  <w:style w:type="character" w:customStyle="1" w:styleId="27">
    <w:name w:val="font51"/>
    <w:basedOn w:val="16"/>
    <w:qFormat/>
    <w:uiPriority w:val="0"/>
    <w:rPr>
      <w:rFonts w:hint="default" w:ascii="楷体" w:hAnsi="楷体" w:eastAsia="楷体" w:cs="楷体"/>
      <w:b/>
      <w:color w:val="000000"/>
      <w:sz w:val="21"/>
      <w:szCs w:val="21"/>
      <w:u w:val="none"/>
    </w:rPr>
  </w:style>
  <w:style w:type="character" w:customStyle="1" w:styleId="28">
    <w:name w:val="font41"/>
    <w:basedOn w:val="16"/>
    <w:qFormat/>
    <w:uiPriority w:val="0"/>
    <w:rPr>
      <w:rFonts w:hint="default" w:ascii="仿宋" w:hAnsi="仿宋" w:eastAsia="仿宋" w:cs="仿宋"/>
      <w:b/>
      <w:color w:val="000000"/>
      <w:sz w:val="21"/>
      <w:szCs w:val="21"/>
      <w:u w:val="none"/>
    </w:rPr>
  </w:style>
  <w:style w:type="character" w:customStyle="1" w:styleId="29">
    <w:name w:val="font31"/>
    <w:basedOn w:val="16"/>
    <w:qFormat/>
    <w:uiPriority w:val="0"/>
    <w:rPr>
      <w:rFonts w:hint="default" w:ascii="楷体" w:hAnsi="楷体" w:eastAsia="楷体" w:cs="楷体"/>
      <w:color w:val="000000"/>
      <w:sz w:val="21"/>
      <w:szCs w:val="21"/>
      <w:u w:val="none"/>
    </w:rPr>
  </w:style>
  <w:style w:type="character" w:customStyle="1" w:styleId="30">
    <w:name w:val="font21"/>
    <w:basedOn w:val="16"/>
    <w:qFormat/>
    <w:uiPriority w:val="0"/>
    <w:rPr>
      <w:rFonts w:hint="default"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8A5B4-1D0F-45C5-9CBA-4FA2416DB6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100</Pages>
  <Words>10335</Words>
  <Characters>58916</Characters>
  <Lines>490</Lines>
  <Paragraphs>138</Paragraphs>
  <TotalTime>188</TotalTime>
  <ScaleCrop>false</ScaleCrop>
  <LinksUpToDate>false</LinksUpToDate>
  <CharactersWithSpaces>69113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2021-01-14T05:04:00Z</dcterms:created>
  <dc:creator>Administrator</dc:creator>
  <cp:lastModifiedBy>满天星</cp:lastModifiedBy>
  <cp:lastPrinted>2021-01-17T12:26:00Z</cp:lastPrinted>
  <dcterms:modified xsi:type="dcterms:W3CDTF">2022-10-15T06:13:49Z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5F1515A20CA54DACBF95323D196C4AE9</vt:lpwstr>
  </property>
</Properties>
</file>