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土地征收补偿标准</w:t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2166"/>
        <w:gridCol w:w="2512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before="201"/>
              <w:ind w:right="294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3"/>
                <w:kern w:val="0"/>
                <w:sz w:val="24"/>
                <w:szCs w:val="24"/>
                <w:lang w:val="en-US" w:eastAsia="en-US" w:bidi="ar-SA"/>
              </w:rPr>
              <w:t>地类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left="155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kern w:val="0"/>
                <w:sz w:val="24"/>
                <w:szCs w:val="24"/>
                <w:lang w:val="en-US" w:eastAsia="en-US" w:bidi="ar-SA"/>
              </w:rPr>
              <w:t>补偿标准</w:t>
            </w:r>
          </w:p>
          <w:p>
            <w:pPr>
              <w:widowControl w:val="0"/>
              <w:ind w:left="104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3"/>
                <w:kern w:val="0"/>
                <w:sz w:val="24"/>
                <w:szCs w:val="24"/>
                <w:lang w:val="en-US" w:eastAsia="en-US" w:bidi="ar-SA"/>
              </w:rPr>
              <w:t>（元/亩）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kern w:val="0"/>
                <w:sz w:val="24"/>
                <w:szCs w:val="24"/>
                <w:lang w:val="en-US" w:eastAsia="en-US" w:bidi="ar-SA"/>
              </w:rPr>
              <w:t>青苗补偿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kern w:val="0"/>
                <w:sz w:val="24"/>
                <w:szCs w:val="24"/>
                <w:lang w:val="en-US" w:eastAsia="en-US" w:bidi="ar-SA"/>
              </w:rPr>
              <w:t>（元/亩）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before="202"/>
              <w:ind w:firstLine="468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en-US" w:bidi="ar-SA"/>
              </w:rPr>
              <w:t>农用地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en-US" w:bidi="ar-SA"/>
              </w:rPr>
              <w:t>耕地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36900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耕地以外的农用地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22140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en-US" w:bidi="ar-SA"/>
              </w:rPr>
              <w:t>其他用地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建设用地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20295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未利用地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9963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  <w:jc w:val="center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232" w:firstLineChars="1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征地标准依据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遵府发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en-US" w:bidi="ar-SA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en-US" w:bidi="ar-SA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12号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文件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2098" w:right="1531" w:bottom="1985" w:left="1587" w:header="850" w:footer="1417" w:gutter="0"/>
          <w:pgNumType w:fmt="decimal"/>
          <w:cols w:space="720" w:num="1"/>
          <w:docGrid w:linePitch="28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pacing w:val="-7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习水县寨坝镇金洲国际项目零星经济林木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6"/>
        <w:tblW w:w="4884" w:type="pct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86"/>
        <w:gridCol w:w="2089"/>
        <w:gridCol w:w="1249"/>
        <w:gridCol w:w="1003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李、枣、拐枣、柿子、苹果、花红、杏、石榴、核桃、板栗、樱桃、梨、桃、桑葚、佳宝果等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裸根苗定植后一个生产年，每亩超过143株按照143株计算。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定植第二年后至初挂果。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盛产期（胸径 16cm以下）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（含25cm）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胸径&gt;25cm 元/株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一般柑、橘、橙、柚类（沙田柚、红心蜜柚除外）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容器苗，每亩超过125 株按照125株计算。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沙田柚、红心蜜柚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每亩超过100株按照 100株计算。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杨梅、枇杷等（指引进或嫁接的优良品种）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裸根苗定植后一个生产年，每亩超过250株按照250株计算。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胸径16-25cm、冠幅&gt;10m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胸径&gt;26cm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葡萄、猕猴桃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裸根苗定植后一个生产年，每亩超过500株按照500株计算。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花椒、油 桐、油茶、无花果、 漆树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裸根苗定植后一个生产年，每亩超过200株按照200株计算。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杜仲、黄 柏、厚朴、椿树、银 杏等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人工栽植的予以补偿，天然次生、萌生、丛生的不予补偿，每亩超过 400株按照400株计算。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胸径2-4cm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胸径4-6cm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胸径6-12cm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胸径12-20cm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指单株茶树，丛生的一丛以一株算， 每亩超过 2667株按照2667株计算。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（6cm以下）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20-26cm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主干高50㎝以下（含50㎝）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主干高30㎝以下棕树苗不予补偿。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主干高50-100㎝（含100cm）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主干高100㎝以上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麻竹、楠 竹、金竹、撑绿竹等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胸径5-7cm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 7cm 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香蕉、芭蕉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成熟期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桂圆、荔枝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每亩超过100株按照 100株计算。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高50-100cm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高100-150cm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胸径4-8cm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胸径9-10cm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胸径11-12cm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胸径12-20cm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榕树、美人树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紫柏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金丝楠木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按单株，丛生的一丛以一株算，每亩超过168 棵按照168棵计算。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红豆杉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胸径4-5cm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胸径6-8cm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胸径9-10cm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胸径11-13cm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胸径14-15cm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金弹子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按单株，丛生的一丛以一株算，每亩超过260棵按照260棵计算。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冠幅&lt;40cm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冠幅41-50cm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冠幅51-80cm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冠幅81-150cm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冠幅&gt;151cm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高30cm以下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高31-99cm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高100-150cm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高151cm以上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桂花、三角梅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每亩超过143株按照 143株计算。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胸径3-5cm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（不含5cm）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胸径5-7cm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（不含7cm）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 7-9cm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（不含9cm）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胸径9-11cm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（不含11cm）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胸径11-13cm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（不含13cm）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 11cm 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黄金柠檬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冠幅＜30cm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冠幅30-50cm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冠幅51-80cm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冠幅81-100cm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冠幅101-150cm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冠幅151-200cm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冠幅＞201cm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分蘖期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伸长期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成熟期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琯溪蜜柚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裸根定苗后第一个生产年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霸王鞭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胸径5-7cm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胸径8cm以上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定植2年以上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（搬迁）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紫薇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定植2年以上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（搬迁）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栀子花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栽植2年以上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（搬迁）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用材林及其他林木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胸径6㎝以下的属于幼树， 不予补偿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胸径21-30cm以上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胸径在30cm以上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苗圃、花卉</w:t>
            </w:r>
          </w:p>
        </w:tc>
        <w:tc>
          <w:tcPr>
            <w:tcW w:w="17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5cm以下的，以上一年度同树木同规格苗木市场平均销售价乘以株数予以补偿，5cm以上的树木参照评估价值予以补偿。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-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textAlignment w:val="auto"/>
        <w:rPr>
          <w:rFonts w:hint="eastAsia" w:ascii="Times New Roman" w:hAnsi="Times New Roman" w:cs="Times New Roman"/>
          <w:spacing w:val="-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说明：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1.苗期：裸根苗定植后一个生产年</w:t>
      </w:r>
      <w:r>
        <w:rPr>
          <w:rFonts w:hint="eastAsia" w:ascii="Times New Roman" w:hAnsi="Times New Roman" w:cs="Times New Roman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2.成片经济林木苗株数必须达到初植密度的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85%以上，超过初植密度的，按照成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片经济林计算，不能按株数计算。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10" w:h="16840"/>
          <w:pgMar w:top="1580" w:right="1040" w:bottom="1720" w:left="1160" w:header="0" w:footer="1520" w:gutter="0"/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3.胸径5cm以下的天然次生、萌生的黄柏、椿树等林木不予补偿；主干高30cm以下的棕树不予补偿。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习水县寨坝镇金洲国际项目成片经济林木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6"/>
        <w:tblW w:w="4827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03"/>
        <w:gridCol w:w="2067"/>
        <w:gridCol w:w="1224"/>
        <w:gridCol w:w="114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补偿对象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板栗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核桃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苹果、梨子、桃花红、杏、拐枣石榴、李子、柿子樱桃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柑、桔、橙、柚类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杨梅、枇杷等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葡 萄、猕猴桃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油桐、油茶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花 椒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麻竹、楠竹、金竹、撑绿竹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水竹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杂竹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茶叶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无花果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杜仲、黄柏、银杏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凤梨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生长期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挂果期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太子参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栽植1-2年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三年以上的不做任何补偿，自行处理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用材林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幼林、灌木林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高度6米及以下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乔木林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高度6米以上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苗圃、花卉</w:t>
            </w:r>
          </w:p>
        </w:tc>
        <w:tc>
          <w:tcPr>
            <w:tcW w:w="378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5cm以下的以上一年同树木同规格苗木平均价以株数的总价，5cm以上的树木参照评估价值予以补偿。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注：苗期补偿标准按初产期补偿标准50%计算。</w:t>
            </w:r>
          </w:p>
        </w:tc>
      </w:tr>
    </w:tbl>
    <w:p>
      <w:pPr>
        <w:spacing w:before="12"/>
        <w:rPr>
          <w:rFonts w:ascii="方正小标宋简体" w:hAnsi="方正小标宋简体" w:eastAsia="方正小标宋简体" w:cs="方正小标宋简体"/>
          <w:sz w:val="25"/>
          <w:szCs w:val="25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cs="仿宋_GB2312"/>
          <w:lang w:eastAsia="zh-CN"/>
        </w:rPr>
      </w:pPr>
    </w:p>
    <w:p>
      <w:pPr>
        <w:rPr>
          <w:rFonts w:hint="eastAsia" w:ascii="Calibri" w:hAnsi="Calibri" w:cs="仿宋_GB2312"/>
          <w:lang w:eastAsia="zh-CN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习水县寨坝镇金洲国际项目待征收住房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Calibri" w:hAnsi="Calibri" w:cs="方正小标宋简体"/>
          <w:spacing w:val="-6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市场评估补偿标准</w:t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spacing w:before="9"/>
        <w:ind w:firstLine="7200" w:firstLineChars="3000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单位：元/㎡</w:t>
      </w:r>
    </w:p>
    <w:tbl>
      <w:tblPr>
        <w:tblStyle w:val="6"/>
        <w:tblW w:w="4874" w:type="pct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41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  <w:t>结构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框架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砖混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砖木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木瓦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石砌、土木（土坯）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1050</w:t>
            </w:r>
          </w:p>
        </w:tc>
      </w:tr>
    </w:tbl>
    <w:p>
      <w:pPr>
        <w:spacing w:before="2"/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60" w:lineRule="exact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说明：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本标准不含室内外装饰、附属设施及宅基地补偿。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  <w:sectPr>
          <w:pgSz w:w="11910" w:h="16840"/>
          <w:pgMar w:top="1580" w:right="1520" w:bottom="1720" w:left="1640" w:header="0" w:footer="15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习水县寨坝镇金洲国际项目搬迁、临时周转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过渡费标准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8"/>
        <w:tblW w:w="8850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2085"/>
        <w:gridCol w:w="3145"/>
        <w:gridCol w:w="2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tabs>
                <w:tab w:val="left" w:pos="597"/>
              </w:tabs>
              <w:spacing w:before="181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spacing w:before="181"/>
              <w:ind w:left="917" w:firstLine="24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补偿标准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tabs>
                <w:tab w:val="left" w:pos="477"/>
              </w:tabs>
              <w:spacing w:before="181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1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pacing w:line="39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搬迁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费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en-US" w:bidi="ar-SA"/>
              </w:rPr>
              <w:t>住宅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20元/㎡</w:t>
            </w:r>
          </w:p>
        </w:tc>
        <w:tc>
          <w:tcPr>
            <w:tcW w:w="24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spacing w:before="157"/>
              <w:ind w:left="11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  <w:t>每户累计不足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1000元</w:t>
            </w: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的按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  <w:t>元计算，超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过1000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  <w:t>元的据实补</w:t>
            </w: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农家乐、民宿用房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30元/㎡</w:t>
            </w:r>
          </w:p>
        </w:tc>
        <w:tc>
          <w:tcPr>
            <w:tcW w:w="24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11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kern w:val="0"/>
                <w:sz w:val="24"/>
                <w:szCs w:val="24"/>
                <w:lang w:val="en-US" w:eastAsia="en-US" w:bidi="ar-SA"/>
              </w:rPr>
              <w:t>生产用房、库房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  <w:t>30元/㎡</w:t>
            </w:r>
          </w:p>
        </w:tc>
        <w:tc>
          <w:tcPr>
            <w:tcW w:w="24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 w:val="0"/>
              <w:spacing w:before="9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ind w:left="786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临时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  <w:t>周转过渡</w:t>
            </w: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>费</w:t>
            </w:r>
          </w:p>
        </w:tc>
        <w:tc>
          <w:tcPr>
            <w:tcW w:w="56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en-US"/>
              </w:rPr>
              <w:t>按房屋建筑面积每月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7元/㎡</w:t>
            </w: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en-US"/>
              </w:rPr>
              <w:t>计发。</w:t>
            </w:r>
          </w:p>
        </w:tc>
      </w:tr>
    </w:tbl>
    <w:p>
      <w:pPr>
        <w:spacing w:before="26" w:line="458" w:lineRule="auto"/>
        <w:ind w:left="1287" w:hanging="708"/>
        <w:rPr>
          <w:rFonts w:hint="eastAsia" w:ascii="仿宋_GB2312" w:hAnsi="仿宋_GB2312" w:eastAsia="仿宋_GB2312" w:cs="仿宋_GB2312"/>
          <w:spacing w:val="-5"/>
          <w:sz w:val="24"/>
          <w:szCs w:val="24"/>
        </w:rPr>
        <w:sectPr>
          <w:pgSz w:w="11910" w:h="16840"/>
          <w:pgMar w:top="1580" w:right="1480" w:bottom="1720" w:left="1480" w:header="0" w:footer="15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习水县寨坝镇金洲国际项目房屋附属设施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6"/>
        <w:tblW w:w="4849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811"/>
        <w:gridCol w:w="1351"/>
        <w:gridCol w:w="23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Header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别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座机电话（不含分机）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元/部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宽带移户费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有线电视或村村通电视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空 调（挂式）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空 调（台式）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太阳能热水器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含管件及搬迁、安装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电热水器（含燃气热水器）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含管件及搬迁、安装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天然气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含管件及搬迁、安装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照明设施（明线）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以被征收房屋建筑面积为依据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照明设施（暗线）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以被征收房屋建筑面积为依据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动力设施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有独立户头且安装三相动力电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独立电表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具有在供电局开户的电表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灶面为大理石（花岗石）灶台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抽油烟机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普通灶头（含贴砖）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安装有热水包增加补偿费200元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小型地面卫星接收设施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自行引水（含安装费）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水管按市场价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水池水管（4.0）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水池水管（6.0）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水池水管（32）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水池水管（50）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市政供水设施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含材料及安装费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  <w:sectPr>
          <w:headerReference r:id="rId6" w:type="default"/>
          <w:footerReference r:id="rId7" w:type="default"/>
          <w:pgSz w:w="11910" w:h="16840"/>
          <w:pgMar w:top="1580" w:right="1520" w:bottom="1720" w:left="1480" w:header="0" w:footer="15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习水县寨坝镇金洲国际项目房屋装饰装修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补偿标准</w:t>
      </w: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6"/>
        <w:tblW w:w="485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713"/>
        <w:gridCol w:w="1421"/>
        <w:gridCol w:w="127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Header/>
          <w:tblCellSpacing w:w="0" w:type="dxa"/>
          <w:jc w:val="center"/>
        </w:trPr>
        <w:tc>
          <w:tcPr>
            <w:tcW w:w="604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别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外墙面砖或水洗石外墙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按贴砖或水洗石面积计算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外墙涂料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按涂料面积计算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外墙玻璃幕墙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按幕墙面积计算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外墙水泥清光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按清光面积计算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内墙装饰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仿 瓷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乳胶漆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墙布（普通）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墙布（刺绣）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墙纸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木墙裙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瓷砖墙裙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铝塑板墙裙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电视墙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天棚装饰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木质吊顶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石膏板吊顶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铝塑板吊顶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桑拿板吊顶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塑料扣板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合金板扣板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集成吊顶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石膏线条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木线条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地面装饰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60cm×60cm以下地板砖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60cm×60cm地板砖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80cm×80cm地板砖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大理石、花岗石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竹、实木地板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拼花木地板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强化、复合木地板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塑胶地面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水磨石地坪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铝合金卷帘门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防撬（防盗）门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隔热门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套装门（非实木）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雕花门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三合板、椴木贴面自制门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套装实木门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普通木门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普通实木大门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非套装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铝合金隔断门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钢条防盗门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不锈钢防盗窗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钢条防盗窗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元/扇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纱窗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窗套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钢棚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室内护栏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 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 条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铁 花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砖砌水泥清光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花瓶柱、贴砖、罗马柱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铝合金立柱+木质扶手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铝合金立柱+木质扶手+玻璃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玻璃门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厚度8mm及以下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厚度8mm以上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固定柜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壁 柜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吊柜（高700mm及以下）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装饰柜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卫生洁具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台式面盆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浴 缸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整体浴室（成品淋浴房）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搬迁、安装费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蹲式大便器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坐式大便器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不锈钢面盆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室内隔断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玻璃隔断（普通）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玻璃隔断（雕花）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木质隔断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门头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铝塑扣板门头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铁、钢架+木板门头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木质板门头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ind w:left="0" w:firstLine="0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ind w:left="0" w:firstLine="0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ind w:left="0" w:firstLine="0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ind w:left="0" w:firstLine="0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ind w:left="0" w:firstLine="0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ind w:left="0" w:firstLine="0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alibri" w:hAnsi="Calibri" w:cs="Times New Roman"/>
          <w:lang w:val="en-US" w:eastAsia="zh-CN"/>
        </w:rPr>
      </w:pPr>
    </w:p>
    <w:p>
      <w:pPr>
        <w:widowControl w:val="0"/>
        <w:spacing w:before="0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8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习水县寨坝镇金洲国际项目房屋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构筑物补偿标准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6"/>
        <w:tblW w:w="4997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2746"/>
        <w:gridCol w:w="1646"/>
        <w:gridCol w:w="1153"/>
        <w:gridCol w:w="19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一、围墙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实心砖围墙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空心砖砌围墙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片石干砌围墙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简易土质围墙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围墙基础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二、堡坎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干砌石堡坎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毛石混凝土堡坎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浆砌勾平缝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浆砌勾凸缝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三、晒坝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混凝土晒坝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石晒坝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简易水泥、三合土、碎石地坪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青石地坪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贴砖花池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水泥清光花池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坝子栏杆（贴砖、罗马柱）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砖、石砌粉糊坝子栏杆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砖、石砌未粉糊坝子栏杆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栏水线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四、水池、鱼塘、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水窖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、粪池、水井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按混凝土实际方量计算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砖石浆砌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按砖石浆砌实际方量计算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 质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按容积计算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土石（砖）混合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混凝土盖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按混凝土盖面积计算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鱼塘水泥踩底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鱼塘堤干按堡坎计算；产值补偿根据实际情况补偿，但不得超出耕地年产值的3倍。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人工水井（深度2米以上算）人工费补偿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每超深1米，按 200元/米据实增加；水源不进行补偿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水泥管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五、水缸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元/口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六、沼气池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沼气池（按容积计算）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七、主体外附属（畜圈、厕所、煤房）等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砖混架构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砖混结构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砖木结构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砖木结构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土木结构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土木结构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八、棚子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砖结构棚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木结构棚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金属结构棚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钢架彩钢棚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活动板房（屋顶）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九、道路硬化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人行道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机车道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十、沟渠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沟渠（按砌体体积算）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按砌体实际方量计算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十一、雨棚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不锈钢铝合金雨阳棚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雨阳棚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阳光棚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十二、木电杆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十三、水泥电杆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8米以上每增加1米加50元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十四、太阳能电杆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含太阳能灯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十五、棺材搬迁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元/盒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十六、蜂桶搬迁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元/桶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340" w:beforeLines="0" w:beforeAutospacing="0" w:after="330" w:afterLines="0" w:afterAutospacing="0" w:line="600" w:lineRule="exact"/>
        <w:jc w:val="both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习水县寨坝镇金洲国际项目坟墓搬迁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补偿及奖励标准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</w:t>
      </w:r>
    </w:p>
    <w:tbl>
      <w:tblPr>
        <w:tblStyle w:val="6"/>
        <w:tblW w:w="5117" w:type="pct"/>
        <w:tblInd w:w="-9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388"/>
        <w:gridCol w:w="1907"/>
        <w:gridCol w:w="1095"/>
        <w:gridCol w:w="1095"/>
        <w:gridCol w:w="1095"/>
        <w:gridCol w:w="1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奖励标准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坟墓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料石坟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7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说明：合坟按1.5座计；在协议规定时间内搬迁的享受上述奖励政策，建构筑物未尽事项参照房屋附属设施标准执行，坟地按实际面积参照宅基地标准进行补偿。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砌石、土石坟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土、乱石坟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坟碑（单碑）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元／块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坟碑帽（连体）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元／块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棺木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附属设施及其它建构筑物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浆砌石围墙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片石干砌围墙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围墙基础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干砌石堡坎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毛石混凝土堡坎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混凝土坟坝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栏杆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浆砌石基础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拟安置住房评估价格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spacing w:before="14"/>
        <w:rPr>
          <w:rFonts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8"/>
        <w:tblW w:w="0" w:type="auto"/>
        <w:tblInd w:w="2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972"/>
        <w:gridCol w:w="2359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exac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5"/>
                <w:kern w:val="0"/>
                <w:sz w:val="24"/>
                <w:szCs w:val="24"/>
                <w:lang w:val="en-US" w:eastAsia="en-US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w w:val="9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300" w:lineRule="exact"/>
              <w:ind w:left="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  <w:t>拟建安置房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300" w:lineRule="exact"/>
              <w:ind w:left="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  <w:t>重置成本价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300" w:lineRule="exact"/>
              <w:ind w:left="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  <w:t>（元/㎡）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  <w:t>拟建安置房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  <w:t>市场评估价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0"/>
                <w:sz w:val="24"/>
                <w:szCs w:val="24"/>
                <w:lang w:val="en-US" w:eastAsia="zh-CN" w:bidi="ar-SA"/>
              </w:rPr>
              <w:t>（元/㎡）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kern w:val="0"/>
                <w:sz w:val="24"/>
                <w:szCs w:val="24"/>
                <w:lang w:val="en-US" w:eastAsia="zh-CN" w:bidi="ar-SA"/>
              </w:rPr>
              <w:t>框</w:t>
            </w:r>
            <w:r>
              <w:rPr>
                <w:rFonts w:hint="eastAsia" w:ascii="Times New Roman" w:hAnsi="Times New Roman" w:eastAsia="仿宋_GB2312" w:cs="Times New Roman"/>
                <w:w w:val="9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架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1800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2050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00" w:lineRule="exact"/>
              <w:ind w:left="304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spacing w:before="0"/>
        <w:ind w:left="0" w:firstLine="640"/>
        <w:jc w:val="both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习水县寨坝镇金洲国际项目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产权调换结构补差表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单位：元/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㎡</w:t>
      </w:r>
    </w:p>
    <w:tbl>
      <w:tblPr>
        <w:tblStyle w:val="6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60"/>
        <w:gridCol w:w="1095"/>
        <w:gridCol w:w="1542"/>
        <w:gridCol w:w="197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安置房结构</w:t>
            </w:r>
          </w:p>
        </w:tc>
        <w:tc>
          <w:tcPr>
            <w:tcW w:w="5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被征收户住房结构</w:t>
            </w: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框架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砖混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砖木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木瓦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石砌、土木（土坯）</w:t>
            </w: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框架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3714"/>
        </w:tabs>
        <w:bidi w:val="0"/>
        <w:jc w:val="left"/>
        <w:rPr>
          <w:rFonts w:hint="eastAsia" w:ascii="Calibri" w:hAnsi="Calibri" w:eastAsia="仿宋_GB2312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3.9pt;height:16.05pt;width:58.05pt;mso-position-horizontal:right;mso-position-horizontal-relative:margin;mso-position-vertical-relative:page;z-index:251659264;mso-width-relative:page;mso-height-relative:page;" filled="f" stroked="f" coordsize="21600,21600" o:gfxdata="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ZCRK7XAAAACgEAAA8AAAAAAAAAAQAgAAAAIgAAAGRycy9kb3ducmV2LnhtbFBL&#10;AQIUABQAAAAIAIdO4kBnMat9vgEAAH8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cs="Times New Roman"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6350</wp:posOffset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pt;margin-top:753.9pt;height:16.05pt;width:58.05pt;mso-position-horizontal-relative:margin;mso-position-vertical-relative:page;z-index:251661312;mso-width-relative:page;mso-height-relative:page;" filled="f" stroked="f" coordsize="21600,21600" o:gfxdata="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GXmpPYAAAACwEAAA8AAAAAAAAAAQAgAAAAIgAAAGRycy9kb3ducmV2LnhtbFBL&#10;AQIUABQAAAAIAIdO4kCbvhu6vQEAAH8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3.9pt;height:16.05pt;width:58.05pt;mso-position-horizontal:right;mso-position-horizontal-relative:margin;mso-position-vertical-relative:page;z-index:251660288;mso-width-relative:page;mso-height-relative:page;" filled="f" stroked="f" coordsize="21600,21600" o:gfxdata="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ZCRK7XAAAACgEAAA8AAAAAAAAAAQAgAAAAIgAAAGRycy9kb3ducmV2LnhtbFBL&#10;AQIUABQAAAAIAIdO4kDeKLspvgEAAH8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Q5OWFlNDlkMzRmOTJhNTQxNWQzZGQ0ZWNlMzIifQ=="/>
  </w:docVars>
  <w:rsids>
    <w:rsidRoot w:val="665823A0"/>
    <w:rsid w:val="0566692E"/>
    <w:rsid w:val="186D0E01"/>
    <w:rsid w:val="665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420"/>
    </w:pPr>
    <w:rPr>
      <w:rFonts w:ascii="等线" w:hAnsi="等线" w:eastAsia="仿宋_GB2312"/>
      <w:sz w:val="32"/>
      <w:szCs w:val="30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2025-06-27T06:47:00Z</dcterms:created>
  <dc:creator>袁滔</dc:creator>
  <cp:lastModifiedBy>袁滔</cp:lastModifiedBy>
  <dcterms:modified xsi:type="dcterms:W3CDTF">2025-06-27T06:49:39Z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DDB73D7138B545F5897849C5FF3F6DB4_11</vt:lpwstr>
  </property>
</Properties>
</file>