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习水县寨坝镇云岭翠湖项目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土地征收补偿标准</w:t>
      </w:r>
    </w:p>
    <w:p>
      <w:pPr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9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1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2166"/>
        <w:gridCol w:w="2512"/>
        <w:gridCol w:w="2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exact"/>
          <w:jc w:val="center"/>
        </w:trPr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201"/>
              <w:ind w:right="29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3"/>
                <w:sz w:val="24"/>
                <w:szCs w:val="24"/>
              </w:rPr>
              <w:t>地类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ind w:left="155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4"/>
                <w:sz w:val="24"/>
                <w:szCs w:val="24"/>
              </w:rPr>
              <w:t>补偿标准</w:t>
            </w:r>
          </w:p>
          <w:p>
            <w:pPr>
              <w:pStyle w:val="12"/>
              <w:ind w:left="10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3"/>
                <w:sz w:val="24"/>
                <w:szCs w:val="24"/>
              </w:rPr>
              <w:t>（元/亩）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4"/>
                <w:sz w:val="24"/>
                <w:szCs w:val="24"/>
              </w:rPr>
              <w:t>青苗补偿</w:t>
            </w:r>
          </w:p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4"/>
                <w:sz w:val="24"/>
                <w:szCs w:val="24"/>
              </w:rPr>
              <w:t>（元/亩）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  <w:jc w:val="center"/>
        </w:trPr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202"/>
              <w:ind w:firstLine="468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农用地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耕地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36900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  <w:jc w:val="center"/>
        </w:trPr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耕地以外的农用地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22140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  <w:jc w:val="center"/>
        </w:trPr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其他用地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建设用地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20295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  <w:jc w:val="center"/>
        </w:trPr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未利用地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9963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exact"/>
          <w:jc w:val="center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ind w:firstLine="232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征地标准依据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遵府发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bidi="ar-SA"/>
              </w:rPr>
              <w:t>〔202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bidi="ar-SA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文件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  <w:sectPr>
          <w:footerReference r:id="rId4" w:type="default"/>
          <w:headerReference r:id="rId3" w:type="even"/>
          <w:footerReference r:id="rId5" w:type="even"/>
          <w:pgSz w:w="11910" w:h="16840"/>
          <w:pgMar w:top="2098" w:right="1531" w:bottom="1985" w:left="1587" w:header="850" w:footer="1417" w:gutter="0"/>
          <w:pgNumType w:fmt="decimal"/>
          <w:cols w:space="720" w:num="1"/>
          <w:docGrid w:linePitch="28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spacing w:val="-7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习水县寨坝镇云岭翠湖项目零星经济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林木补偿标准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4884" w:type="pct"/>
        <w:tblInd w:w="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686"/>
        <w:gridCol w:w="2089"/>
        <w:gridCol w:w="1249"/>
        <w:gridCol w:w="1003"/>
        <w:gridCol w:w="2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李、枣、拐枣、柿子、苹果、花红、杏、石榴、核桃、板栗、樱桃、梨、桃、桑葚、佳宝果等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裸根苗定植后一个生产年，每亩超过143株按照143株计算。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定植第二年后至初挂果。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盛产期（胸径 16cm以下）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胸径16-25cm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（含25cm）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胸径&gt;25cm 元/株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一般柑、橘、橙、柚类（沙田柚、红心蜜柚除外）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容器苗，每亩超过125 株按照125株计算。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沙田柚、红心蜜柚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每亩超过100株按照 100株计算。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杨梅、枇杷等（指引进或嫁接的优良品种）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裸根苗定植后一个生产年，每亩超过250株按照250株计算。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胸径16-25cm、冠幅&gt;10m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胸径&gt;26cm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葡萄、猕猴桃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裸根苗定植后一个生产年，每亩超过500株按照500株计算。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花椒、油 桐、油茶、无花果、 漆树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裸根苗定植后一个生产年，每亩超过200株按照200株计算。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杜仲、黄 柏、厚朴、椿树、银 杏等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人工栽植的予以补偿，天然次生、萌生、丛生的不予补偿，每亩超过 400株按照400株计算。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胸径2-4cm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胸径4-6cm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胸径6-12cm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胸径12-20cm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茶树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指单株茶树，丛生的一丛以一株算， 每亩超过 2667株按照2667株计算。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（6cm以下）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20-26cm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棕树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主干高50㎝以下（含50㎝）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主干高30㎝以下棕树苗不予补偿。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主干高50-100㎝（含100cm）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主干高100㎝以上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麻竹、楠 竹、金竹、撑绿竹等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胸径5-7cm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 7cm 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香蕉、芭蕉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成熟期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桂圆、荔枝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每亩超过100株按照 100株计算。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高50-100cm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高100-150cm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胸径4-8cm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胸径9-10cm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胸径11-12cm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胸径12-20cm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榕树、美人树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胸径11-15cm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胸径16-20cm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紫柏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胸径11-15cm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胸径16-20cm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金丝楠木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按单株，丛生的一丛以一株算，每亩超过168 棵按照168棵计算。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胸径11-15cm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胸径16-20cm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红豆杉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胸径3cm以下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胸径4-5cm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胸径6-8cm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胸径9-10cm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胸径11-13cm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胸径14-15cm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金弹子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按单株，丛生的一丛以一株算，每亩超过260棵按照260棵计算。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胸径11-15cm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胸径16-20cm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铁树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直径5cm以下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直径6-10cm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直径10cm以上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冠幅&lt;40cm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冠幅41-50cm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冠幅51-80cm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冠幅81-150cm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冠幅&gt;151cm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紫荆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高30cm以下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高31-99cm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高100-150cm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高151cm以上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桂花、三角梅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胸径3cm以下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每亩超过143株按照 143株计算。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胸径3-5cm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（不含5cm）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胸径5-7cm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（不含7cm）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 7-9cm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（不含9cm）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胸径9-11cm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（不含11cm）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胸径11-13cm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（不含13cm）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 11cm 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黄金柠檬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月季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冠幅＜30cm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冠幅30-50cm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冠幅51-80cm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冠幅81-100cm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冠幅101-150cm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冠幅151-200cm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冠幅＞201cm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甘蔗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分蘖期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伸长期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成熟期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琯溪蜜柚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裸根定苗后第一个生产年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霸王鞭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成长期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胸径5cm以下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胸径5-7cm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胸径8cm以上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茶花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定植2年以上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（搬迁）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紫薇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定植2年以上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（搬迁）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栀子花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栽植2年以上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（搬迁）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8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用材林及其他林木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胸径6-10cm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胸径6㎝以下的属于幼树， 不予补偿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胸径11-15cm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胸径16-20cm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胸径21-30cm以上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胸径在30cm以上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元/株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苗圃、花卉</w:t>
            </w:r>
          </w:p>
        </w:tc>
        <w:tc>
          <w:tcPr>
            <w:tcW w:w="17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5cm以下的，以上一年度同树木同规格苗木市场平均销售价乘以株数予以补偿，5cm以上的树木参照评估价值予以补偿。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pacing w:val="-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3" w:firstLineChars="200"/>
        <w:textAlignment w:val="auto"/>
        <w:rPr>
          <w:rFonts w:hint="eastAsia" w:ascii="Times New Roman" w:hAnsi="Times New Roman" w:cs="Times New Roman"/>
          <w:spacing w:val="-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5"/>
          <w:sz w:val="32"/>
          <w:szCs w:val="32"/>
        </w:rPr>
        <w:t>说明：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1.苗期：裸根苗定植后一个生产年</w:t>
      </w:r>
      <w:r>
        <w:rPr>
          <w:rFonts w:hint="eastAsia" w:ascii="Times New Roman" w:hAnsi="Times New Roman" w:cs="Times New Roman"/>
          <w:spacing w:val="-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500" w:firstLine="0" w:firstLineChars="0"/>
        <w:textAlignment w:val="auto"/>
        <w:rPr>
          <w:rFonts w:hint="default" w:ascii="Times New Roman" w:hAnsi="Times New Roman" w:eastAsia="仿宋_GB2312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2.成片经济林木苗株数必须达到初植密度的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85%以上，超过初植密度的，按照成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片经济林计算，不能按株数计算。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50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10" w:h="16840"/>
          <w:pgMar w:top="1580" w:right="1040" w:bottom="1720" w:left="1160" w:header="0" w:footer="1520" w:gutter="0"/>
          <w:pgNumType w:fmt="decimal"/>
          <w:cols w:space="720" w:num="1"/>
        </w:sect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3.胸径5cm以下的天然次生、萌生的黄柏、椿树等林木不予补偿；主干高30cm以下的棕树不予补偿。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lang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习水县寨坝镇云岭翠湖项目成片经济林木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补偿标准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4827" w:type="pct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03"/>
        <w:gridCol w:w="2067"/>
        <w:gridCol w:w="1224"/>
        <w:gridCol w:w="1142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补偿对象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板栗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3500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核桃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苹果、梨子、桃花红、杏、拐枣石榴、李子、柿子樱桃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柑、桔、橙、柚类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杨梅、枇杷等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葡 萄、猕猴桃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油桐、油茶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1600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2800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5500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花 椒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3500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麻竹、楠竹、金竹、撑绿竹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水竹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杂竹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茶叶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无花果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定植第二年后至初挂果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杜仲、黄柏、银杏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百香果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凤梨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产前期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初、衰产期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盛产期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草莓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生长期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挂果期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太子参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栽植1-2年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三年以上的不做任何补偿，自行处理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用材林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幼林、灌木林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高度6米及以下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乔木林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元/亩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高度6米以上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苗圃、花卉</w:t>
            </w:r>
          </w:p>
        </w:tc>
        <w:tc>
          <w:tcPr>
            <w:tcW w:w="378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5cm以下的以上一年同树木同规格苗木平均价以株数的总价，5cm以上的树木参照评估价值予以补偿。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注：苗期补偿标准按初产期补偿标准50%计算。</w:t>
            </w:r>
          </w:p>
        </w:tc>
      </w:tr>
    </w:tbl>
    <w:p>
      <w:pPr>
        <w:spacing w:before="12"/>
        <w:rPr>
          <w:rFonts w:ascii="方正小标宋简体" w:hAnsi="方正小标宋简体" w:eastAsia="方正小标宋简体" w:cs="方正小标宋简体"/>
          <w:sz w:val="25"/>
          <w:szCs w:val="25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rPr>
          <w:rFonts w:hint="eastAsia" w:cs="仿宋_GB2312"/>
          <w:lang w:eastAsia="zh-CN"/>
        </w:rPr>
      </w:pPr>
    </w:p>
    <w:p>
      <w:pPr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cs="方正小标宋简体"/>
          <w:spacing w:val="-6"/>
          <w:w w:val="95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习水县寨坝镇云岭翠湖项目待征收住房市场评估补偿标准</w:t>
      </w:r>
    </w:p>
    <w:p>
      <w:pPr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9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p>
      <w:pPr>
        <w:spacing w:before="9"/>
        <w:ind w:firstLine="7200" w:firstLineChars="3000"/>
        <w:rPr>
          <w:rFonts w:ascii="方正小标宋简体" w:hAnsi="方正小标宋简体" w:eastAsia="方正小标宋简体" w:cs="方正小标宋简体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单位：元/㎡</w:t>
      </w:r>
    </w:p>
    <w:tbl>
      <w:tblPr>
        <w:tblStyle w:val="9"/>
        <w:tblW w:w="4874" w:type="pct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410"/>
        <w:gridCol w:w="3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en-US"/>
              </w:rPr>
              <w:t>结构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框架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砖混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砖木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木瓦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石砌、土木（土坯）</w:t>
            </w:r>
          </w:p>
        </w:tc>
        <w:tc>
          <w:tcPr>
            <w:tcW w:w="1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1050</w:t>
            </w:r>
          </w:p>
        </w:tc>
      </w:tr>
    </w:tbl>
    <w:p>
      <w:pPr>
        <w:spacing w:before="2"/>
        <w:rPr>
          <w:rFonts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560" w:lineRule="exact"/>
        <w:textAlignment w:val="auto"/>
        <w:rPr>
          <w:rFonts w:hint="default" w:ascii="Times New Roman" w:hAnsi="Times New Roman" w:eastAsia="仿宋_GB2312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5"/>
          <w:sz w:val="32"/>
          <w:szCs w:val="32"/>
        </w:rPr>
        <w:t>说明：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本标准不含室内外装饰、附属设施及宅基地补偿。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  <w:sectPr>
          <w:pgSz w:w="11910" w:h="16840"/>
          <w:pgMar w:top="1580" w:right="1520" w:bottom="1720" w:left="1640" w:header="0" w:footer="1520" w:gutter="0"/>
          <w:pgNumType w:fmt="decimal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习水县寨坝镇云岭翠湖项目搬迁、临时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周转过渡费标准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tbl>
      <w:tblPr>
        <w:tblStyle w:val="13"/>
        <w:tblW w:w="8850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2085"/>
        <w:gridCol w:w="3145"/>
        <w:gridCol w:w="2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2"/>
              <w:tabs>
                <w:tab w:val="left" w:pos="597"/>
              </w:tabs>
              <w:spacing w:before="181"/>
              <w:ind w:left="6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3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2"/>
              <w:spacing w:before="181"/>
              <w:ind w:left="917" w:firstLine="241" w:firstLineChars="10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补偿标准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2"/>
              <w:tabs>
                <w:tab w:val="left" w:pos="477"/>
              </w:tabs>
              <w:spacing w:before="181"/>
              <w:ind w:left="6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115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12"/>
              <w:spacing w:line="39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搬迁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费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住宅</w:t>
            </w:r>
          </w:p>
        </w:tc>
        <w:tc>
          <w:tcPr>
            <w:tcW w:w="3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20元/㎡</w:t>
            </w:r>
          </w:p>
        </w:tc>
        <w:tc>
          <w:tcPr>
            <w:tcW w:w="246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12"/>
              <w:spacing w:before="157"/>
              <w:ind w:left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每户累计不足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1000元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的按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元计算，超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过1000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元的据实补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11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农家乐、民宿用房</w:t>
            </w:r>
          </w:p>
        </w:tc>
        <w:tc>
          <w:tcPr>
            <w:tcW w:w="3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30元/㎡</w:t>
            </w:r>
          </w:p>
        </w:tc>
        <w:tc>
          <w:tcPr>
            <w:tcW w:w="24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11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生产用房、库房</w:t>
            </w:r>
          </w:p>
        </w:tc>
        <w:tc>
          <w:tcPr>
            <w:tcW w:w="3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30元/㎡</w:t>
            </w:r>
          </w:p>
        </w:tc>
        <w:tc>
          <w:tcPr>
            <w:tcW w:w="246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3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2"/>
              <w:spacing w:before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2"/>
              <w:ind w:left="78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临时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lang w:eastAsia="zh-CN"/>
              </w:rPr>
              <w:t>周转过渡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费</w:t>
            </w:r>
          </w:p>
        </w:tc>
        <w:tc>
          <w:tcPr>
            <w:tcW w:w="56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0"/>
                <w:sz w:val="24"/>
                <w:szCs w:val="24"/>
                <w:lang w:eastAsia="en-US"/>
              </w:rPr>
              <w:t>按房屋建筑面积每月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7元/㎡</w:t>
            </w:r>
            <w:r>
              <w:rPr>
                <w:rFonts w:hint="default" w:ascii="Times New Roman" w:hAnsi="Times New Roman" w:eastAsia="仿宋_GB2312" w:cs="Times New Roman"/>
                <w:spacing w:val="-3"/>
                <w:kern w:val="0"/>
                <w:sz w:val="24"/>
                <w:szCs w:val="24"/>
                <w:lang w:eastAsia="en-US"/>
              </w:rPr>
              <w:t>计发。</w:t>
            </w:r>
          </w:p>
        </w:tc>
      </w:tr>
    </w:tbl>
    <w:p>
      <w:pPr>
        <w:spacing w:before="26" w:line="458" w:lineRule="auto"/>
        <w:ind w:left="1287" w:hanging="708"/>
        <w:rPr>
          <w:rFonts w:hint="eastAsia" w:ascii="仿宋_GB2312" w:hAnsi="仿宋_GB2312" w:eastAsia="仿宋_GB2312" w:cs="仿宋_GB2312"/>
          <w:spacing w:val="-5"/>
          <w:sz w:val="24"/>
          <w:szCs w:val="24"/>
        </w:rPr>
        <w:sectPr>
          <w:pgSz w:w="11910" w:h="16840"/>
          <w:pgMar w:top="1580" w:right="1480" w:bottom="1720" w:left="1480" w:header="0" w:footer="1520" w:gutter="0"/>
          <w:pgNumType w:fmt="decimal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6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习水县寨坝镇云岭翠湖项目房屋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附属设施补偿标准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spacing w:before="9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9"/>
        <w:tblW w:w="4849" w:type="pct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1811"/>
        <w:gridCol w:w="1351"/>
        <w:gridCol w:w="233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Header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 别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补偿标准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座机电话（不含分机）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元/部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宽带移户费</w:t>
            </w:r>
          </w:p>
        </w:tc>
        <w:tc>
          <w:tcPr>
            <w:tcW w:w="10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元/户</w:t>
            </w:r>
          </w:p>
        </w:tc>
        <w:tc>
          <w:tcPr>
            <w:tcW w:w="7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31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有线电视或村村通电视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元/户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空 调（挂式）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元/台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移机、安装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空 调（台式）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元/台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移机、安装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太阳能热水器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含管件及搬迁、安装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电热水器（含燃气热水器）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含管件及搬迁、安装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天然气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元/户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2600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含管件及搬迁、安装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照明设施（明线）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以被征收房屋建筑面积为依据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照明设施（暗线）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以被征收房屋建筑面积为依据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动力设施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元/户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有独立户头且安装三相动力电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独立电表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元/户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具有在供电局开户的电表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灶面为大理石（花岗石）灶台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抽油烟机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元/台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移机、安装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普通灶头（含贴砖）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安装有热水包增加补偿费200元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小型地面卫星接收设施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移机安装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自行引水（含安装费）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元/户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水管按市场价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水池水管（4.0）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水池水管（6.0）</w:t>
            </w:r>
          </w:p>
        </w:tc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水池水管（32）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水池水管（50）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90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市政供水设施</w:t>
            </w:r>
          </w:p>
        </w:tc>
        <w:tc>
          <w:tcPr>
            <w:tcW w:w="1020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元/户</w:t>
            </w:r>
          </w:p>
        </w:tc>
        <w:tc>
          <w:tcPr>
            <w:tcW w:w="76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31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含材料及安装费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  <w:sectPr>
          <w:headerReference r:id="rId6" w:type="default"/>
          <w:footerReference r:id="rId7" w:type="default"/>
          <w:pgSz w:w="11910" w:h="16840"/>
          <w:pgMar w:top="1580" w:right="1520" w:bottom="1720" w:left="1480" w:header="0" w:footer="1520" w:gutter="0"/>
          <w:pgNumType w:fmt="decimal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7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习水县寨坝镇云岭翠湖项目房屋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装饰装修补偿标准</w:t>
      </w:r>
    </w:p>
    <w:p>
      <w:pPr>
        <w:spacing w:before="9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9"/>
        <w:tblW w:w="485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2884"/>
        <w:gridCol w:w="1511"/>
        <w:gridCol w:w="135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Header/>
          <w:tblCellSpacing w:w="0" w:type="dxa"/>
          <w:jc w:val="center"/>
        </w:trPr>
        <w:tc>
          <w:tcPr>
            <w:tcW w:w="604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 别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补偿标准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外墙装饰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外墙面砖或水洗石外墙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按贴砖或水洗石面积计算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外墙涂料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按涂料面积计算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外墙玻璃幕墙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按幕墙面积计算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外墙水泥清光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按清光面积计算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内墙装饰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仿 瓷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乳胶漆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墙布（普通）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墙布（刺绣）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墙纸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木墙裙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瓷砖墙裙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铝塑板墙裙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电视墙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天棚装饰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木质吊顶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石膏板吊顶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铝塑板吊顶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桑拿板吊顶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塑料扣板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合金板扣板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集成吊顶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石膏线条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木线条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地面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装饰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60cm×60cm以下地板砖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60cm×60cm地板砖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80cm×80cm地板砖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大理石、花岗石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竹、实木地板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拼花木地板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强化、复合木地板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简易木地板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塑胶地面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水磨石地坪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门窗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铝合金卷帘门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防撬（防盗）门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元/樘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隔热门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元/樘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套装门（非实木）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元/樘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雕花门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元/樘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三合板、椴木贴面自制门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元/樘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套装实木门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元/樘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普通木门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元/樘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普通实木大门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非套装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铝合金隔断门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钢条防盗门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不锈钢防盗窗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钢条防盗窗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木窗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元/扇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纱窗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铝合金窗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窗套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钢棚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室内护栏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 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钢 条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不锈钢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铁 花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砖砌水泥清光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花瓶柱、贴砖、罗马柱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铝合金立柱+木质扶手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铝合金立柱+木质扶手+玻璃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玻璃门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厚度8mm及以下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厚度8mm以上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固定柜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壁 柜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吊柜（高700mm及以下）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装饰柜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卫生洁具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台式面盆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浴 缸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整体浴室（成品淋浴房）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1800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搬迁、安装费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蹲式大便器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坐式大便器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不锈钢面盆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元/套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室内隔断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玻璃隔断（普通）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玻璃隔断（雕花）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木质隔断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restar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门头</w:t>
            </w: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铝塑扣板门头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铁、钢架+木板门头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不锈钢门头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04" w:type="pct"/>
            <w:vMerge w:val="continue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木质板门头</w:t>
            </w:r>
          </w:p>
        </w:tc>
        <w:tc>
          <w:tcPr>
            <w:tcW w:w="85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765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2" w:type="pct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3"/>
        <w:spacing w:line="600" w:lineRule="exact"/>
        <w:ind w:left="0" w:firstLine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line="600" w:lineRule="exact"/>
        <w:ind w:left="0" w:firstLine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line="600" w:lineRule="exact"/>
        <w:ind w:left="0" w:firstLine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line="600" w:lineRule="exact"/>
        <w:ind w:left="0" w:firstLine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line="600" w:lineRule="exact"/>
        <w:ind w:left="0" w:firstLine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line="600" w:lineRule="exact"/>
        <w:ind w:left="0" w:firstLine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spacing w:before="0"/>
        <w:ind w:left="0" w:leftChars="0" w:firstLine="0" w:firstLineChars="0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8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习水县寨坝镇云岭翠湖项目房屋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构筑物补偿标准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4997" w:type="pct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2920"/>
        <w:gridCol w:w="1750"/>
        <w:gridCol w:w="1226"/>
        <w:gridCol w:w="207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tblCellSpacing w:w="0" w:type="dxa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目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补偿标准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Style w:val="11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一、围墙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实心砖围墙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浆砌石围墙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空心砖砌围墙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片石干砌围墙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简易土质围墙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围墙基础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二、堡坎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浆砌石堡坎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干砌石堡坎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混凝土堡坎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毛石混凝土堡坎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浆砌勾平缝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浆砌勾凸缝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三、晒坝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混凝土晒坝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石晒坝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简易水泥、三合土、碎石地坪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青石地坪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贴砖花池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水泥清光花池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坝子栏杆（贴砖、罗马柱）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砖、石砌粉糊坝子栏杆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砖、石砌未粉糊坝子栏杆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栏水线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四、水池、鱼塘、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水窖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、粪池、水井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混凝土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按混凝土实际方量计算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砖石浆砌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按砖石浆砌实际方量计算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土 质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按容积计算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土石（砖）混合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混凝土盖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按混凝土盖面积计算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鱼塘水泥踩底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元/㎡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鱼塘堤干按堡坎计算；产值补偿根据实际情况补偿，但不得超出耕地年产值的3倍。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人工水井（深度2米以上算）人工费补偿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每超深1米，按 200元/米据实增加；水源不进行补偿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水泥管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五、水缸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元/口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水缸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六、沼气池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沼气池（按容积计算）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七、主体外附属（畜圈、厕所、煤房）等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砖混架构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砖混结构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砖木结构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砖木结构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木结构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木结构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土木结构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土木结构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简易结构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简易结构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八、棚子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砖结构棚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木结构棚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金属结构棚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钢架彩钢棚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活动板房（屋顶）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九、道路硬化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人行道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机车道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十、沟渠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沟渠（按砌体体积算）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元/立方米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按砌体实际方量计算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十一、雨棚</w:t>
            </w: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不锈钢铝合金雨阳棚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雨阳棚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6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阳光棚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219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十二、木电杆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元/根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219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十三、水泥电杆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元/根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8米以上每增加1米加50元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219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十四、太阳能电杆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元/根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含太阳能灯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219" w:type="pct"/>
            <w:gridSpan w:val="2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十五、棺材搬迁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元/盒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219" w:type="pct"/>
            <w:gridSpan w:val="2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十六、蜂桶搬迁</w:t>
            </w:r>
          </w:p>
        </w:tc>
        <w:tc>
          <w:tcPr>
            <w:tcW w:w="963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元/桶</w:t>
            </w:r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41" w:type="pct"/>
            <w:tcBorders>
              <w:tl2br w:val="nil"/>
              <w:tr2bl w:val="nil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3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9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习水县寨坝镇云岭翠湖项目坟墓搬迁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补偿及奖励标准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5117" w:type="pct"/>
        <w:tblInd w:w="-9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478"/>
        <w:gridCol w:w="2031"/>
        <w:gridCol w:w="1165"/>
        <w:gridCol w:w="1165"/>
        <w:gridCol w:w="1165"/>
        <w:gridCol w:w="12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补助类别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补偿标准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奖励标准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坟墓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料石坟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元／座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2500</w:t>
            </w:r>
          </w:p>
        </w:tc>
        <w:tc>
          <w:tcPr>
            <w:tcW w:w="7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说明：合坟按1.5座计；在协议规定时间内搬迁的享受上述奖励政策，建构筑物未尽事项参照房屋附属设施标准执行，坟地按实际面积参照宅基地标准进行补偿。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砌石、土石坟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元／座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2500</w:t>
            </w: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土、乱石坟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元／座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坟碑（单碑）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元／块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坟碑帽（连体）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元／块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棺木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座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附属设施及其它建构筑物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浆砌石围墙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元/m³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片石干砌围墙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元/m³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围墙基础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浆砌石堡坎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元/m³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干砌石堡坎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元/m³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毛石混凝土堡坎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元/m³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混凝土堡坎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元/m³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混凝土坟坝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元/㎡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栏杆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元/米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浆砌石基础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元/㎡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习水县寨坝镇云岭翠湖项目拟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安置住房评估价格</w:t>
      </w:r>
    </w:p>
    <w:p>
      <w:pPr>
        <w:spacing w:before="14"/>
        <w:rPr>
          <w:rFonts w:ascii="方正小标宋简体" w:hAnsi="方正小标宋简体" w:eastAsia="方正小标宋简体" w:cs="方正小标宋简体"/>
          <w:sz w:val="15"/>
          <w:szCs w:val="15"/>
        </w:rPr>
      </w:pPr>
    </w:p>
    <w:tbl>
      <w:tblPr>
        <w:tblStyle w:val="13"/>
        <w:tblW w:w="0" w:type="auto"/>
        <w:tblInd w:w="2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972"/>
        <w:gridCol w:w="2359"/>
        <w:gridCol w:w="1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exac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5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cs="Times New Roman"/>
                <w:b/>
                <w:bCs/>
                <w:w w:val="9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300" w:lineRule="exact"/>
              <w:ind w:left="8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  <w:t>拟建安置房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300" w:lineRule="exact"/>
              <w:ind w:left="8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  <w:t>重置成本价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300" w:lineRule="exact"/>
              <w:ind w:left="8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  <w:t>（元/㎡）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300" w:lineRule="exact"/>
              <w:ind w:left="22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  <w:t>拟建安置房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300" w:lineRule="exact"/>
              <w:ind w:left="22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  <w:t>市场评估价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300" w:lineRule="exact"/>
              <w:ind w:left="22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lang w:eastAsia="zh-CN"/>
              </w:rPr>
              <w:t>（元/㎡）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95"/>
                <w:sz w:val="24"/>
                <w:szCs w:val="24"/>
                <w:lang w:eastAsia="zh-CN"/>
              </w:rPr>
              <w:t>框</w:t>
            </w:r>
            <w:r>
              <w:rPr>
                <w:rFonts w:hint="eastAsia" w:ascii="Times New Roman" w:hAnsi="Times New Roman" w:cs="Times New Roman"/>
                <w:w w:val="9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架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2050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300" w:lineRule="exact"/>
              <w:ind w:left="304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</w:pPr>
          </w:p>
        </w:tc>
      </w:tr>
    </w:tbl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pStyle w:val="4"/>
        <w:spacing w:before="0"/>
        <w:ind w:left="0"/>
        <w:rPr>
          <w:rFonts w:hint="eastAsia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习水县寨坝镇云岭翠湖项目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产权调换结构补差表</w:t>
      </w:r>
    </w:p>
    <w:p>
      <w:pPr>
        <w:bidi w:val="0"/>
        <w:rPr>
          <w:rFonts w:hint="default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单位：元/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>㎡</w:t>
      </w:r>
    </w:p>
    <w:tbl>
      <w:tblPr>
        <w:tblStyle w:val="9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60"/>
        <w:gridCol w:w="1095"/>
        <w:gridCol w:w="1542"/>
        <w:gridCol w:w="197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安置房结构</w:t>
            </w:r>
          </w:p>
        </w:tc>
        <w:tc>
          <w:tcPr>
            <w:tcW w:w="5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被征收户住房结构</w:t>
            </w: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框架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砖混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砖木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木瓦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石砌、土木（土坯）</w:t>
            </w: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框架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headerReference r:id="rId8" w:type="default"/>
      <w:footerReference r:id="rId9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9574530</wp:posOffset>
              </wp:positionV>
              <wp:extent cx="7372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3.9pt;height:16.05pt;width:58.05pt;mso-position-horizontal:right;mso-position-horizontal-relative:margin;mso-position-vertical-relative:page;z-index:251660288;mso-width-relative:page;mso-height-relative:page;" filled="f" stroked="f" coordsize="21600,21600" o:gfxdata="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1kJErtcAAAAKAQAADwAAAAAAAAABACAAAAAiAAAAZHJzL2Rvd25yZXYueG1sUEsB&#10;AhQAFAAAAAgAh07iQKwbm4G9AQAAfw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35560</wp:posOffset>
              </wp:positionH>
              <wp:positionV relativeFrom="page">
                <wp:posOffset>9598660</wp:posOffset>
              </wp:positionV>
              <wp:extent cx="737235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8pt;margin-top:755.8pt;height:16.05pt;width:58.05pt;mso-position-horizontal-relative:margin;mso-position-vertical-relative:page;z-index:251662336;mso-width-relative:page;mso-height-relative:page;" filled="f" stroked="f" coordsize="21600,21600" o:gfxdata="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Ej/sQ2AAAAAsBAAAPAAAAAAAAAAEAIAAAACIAAABkcnMvZG93bnJldi54bWxQ&#10;SwECFAAUAAAACACHTuJAZzGrfb4BAAB/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9574530</wp:posOffset>
              </wp:positionV>
              <wp:extent cx="737235" cy="2038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3.9pt;height:16.05pt;width:58.05pt;mso-position-horizontal:right;mso-position-horizontal-relative:margin;mso-position-vertical-relative:page;z-index:251661312;mso-width-relative:page;mso-height-relative:page;" filled="f" stroked="f" coordsize="21600,21600" o:gfxdata="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ZCRK7XAAAACgEAAA8AAAAAAAAAAQAgAAAAIgAAAGRycy9kb3ducmV2LnhtbFBL&#10;AQIUABQAAAAIAIdO4kDeKLspvgEAAH8DAAAOAAAAAAAAAAEAIAAAACY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7315A"/>
    <w:multiLevelType w:val="multilevel"/>
    <w:tmpl w:val="5817315A"/>
    <w:lvl w:ilvl="0" w:tentative="0">
      <w:start w:val="1"/>
      <w:numFmt w:val="decimal"/>
      <w:pStyle w:val="2"/>
      <w:lvlText w:val="6.%1"/>
      <w:lvlJc w:val="left"/>
      <w:pPr>
        <w:tabs>
          <w:tab w:val="left" w:pos="567"/>
        </w:tabs>
        <w:ind w:left="567" w:hanging="567"/>
      </w:pPr>
      <w:rPr>
        <w:rFonts w:hint="eastAsia" w:cs="Times New Roman"/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lvlText w:val="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410"/>
        </w:tabs>
        <w:ind w:left="141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30"/>
        </w:tabs>
        <w:ind w:left="183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50"/>
        </w:tabs>
        <w:ind w:left="225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70"/>
        </w:tabs>
        <w:ind w:left="267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90"/>
        </w:tabs>
        <w:ind w:left="309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10"/>
        </w:tabs>
        <w:ind w:left="351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30"/>
        </w:tabs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MmQ5OWFlNDlkMzRmOTJhNTQxNWQzZGQ0ZWNlMzIifQ=="/>
  </w:docVars>
  <w:rsids>
    <w:rsidRoot w:val="6CCB7F89"/>
    <w:rsid w:val="0566692E"/>
    <w:rsid w:val="186D0E01"/>
    <w:rsid w:val="6CCB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eastAsia="黑体"/>
      <w:bCs/>
      <w:sz w:val="30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pPr>
      <w:ind w:left="111" w:firstLine="640"/>
    </w:pPr>
    <w:rPr>
      <w:sz w:val="32"/>
      <w:szCs w:val="32"/>
    </w:rPr>
  </w:style>
  <w:style w:type="paragraph" w:styleId="5">
    <w:name w:val="toc 3"/>
    <w:basedOn w:val="1"/>
    <w:next w:val="1"/>
    <w:qFormat/>
    <w:uiPriority w:val="0"/>
    <w:pPr>
      <w:ind w:left="420"/>
    </w:pPr>
    <w:rPr>
      <w:rFonts w:ascii="等线" w:hAnsi="等线" w:eastAsia="仿宋_GB2312"/>
      <w:sz w:val="32"/>
      <w:szCs w:val="30"/>
    </w:rPr>
  </w:style>
  <w:style w:type="paragraph" w:styleId="6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13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2025-06-27T04:02:00Z</dcterms:created>
  <dc:creator>袁滔</dc:creator>
  <cp:lastModifiedBy>袁滔</cp:lastModifiedBy>
  <dcterms:modified xsi:type="dcterms:W3CDTF">2025-06-27T04:06:54Z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DCE0485BB0C44428A23EE145CEBB26C6_11</vt:lpwstr>
  </property>
</Properties>
</file>