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贵州中赤酒业股份有限公司1万吨酱香型白酒技改扩能项目（二期）建设土地征收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方正小标宋简体" w:cs="Times New Roman"/>
          <w:sz w:val="44"/>
          <w:szCs w:val="44"/>
          <w:lang w:val="en-US" w:eastAsia="zh-CN"/>
        </w:rPr>
        <w:t>补偿标准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sz w:val="21"/>
          <w:szCs w:val="21"/>
          <w:lang w:val="en-US"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454"/>
        <w:gridCol w:w="1068"/>
        <w:gridCol w:w="160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98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地类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vertAlign w:val="baseline"/>
                <w:lang w:val="en-US" w:eastAsia="zh-CN"/>
              </w:rPr>
            </w:pP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修正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lang w:val="en-US" w:eastAsia="zh-CN"/>
              </w:rPr>
              <w:t>系数</w:t>
            </w:r>
          </w:p>
        </w:tc>
        <w:tc>
          <w:tcPr>
            <w:tcW w:w="1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补偿标准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lang w:val="en-US" w:eastAsia="zh-CN"/>
              </w:rPr>
              <w:t>（元/亩）</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青苗补偿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lang w:val="en-US" w:eastAsia="zh-CN"/>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农用地</w:t>
            </w:r>
          </w:p>
        </w:tc>
        <w:tc>
          <w:tcPr>
            <w:tcW w:w="24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耕地</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vertAlign w:val="baseline"/>
                <w:lang w:val="en-US" w:eastAsia="zh-CN"/>
              </w:rPr>
              <w:t>36900</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4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耕地以外的农用地</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0.60</w:t>
            </w:r>
          </w:p>
        </w:tc>
        <w:tc>
          <w:tcPr>
            <w:tcW w:w="1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vertAlign w:val="baseline"/>
                <w:lang w:val="en-US" w:eastAsia="zh-CN"/>
              </w:rPr>
              <w:t>22140</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其他用地</w:t>
            </w:r>
          </w:p>
        </w:tc>
        <w:tc>
          <w:tcPr>
            <w:tcW w:w="24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建设用地</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0.55</w:t>
            </w:r>
          </w:p>
        </w:tc>
        <w:tc>
          <w:tcPr>
            <w:tcW w:w="1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lang w:val="en-US" w:eastAsia="zh-CN"/>
              </w:rPr>
              <w:t>20295</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p>
        </w:tc>
        <w:tc>
          <w:tcPr>
            <w:tcW w:w="24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未利用地</w:t>
            </w:r>
          </w:p>
        </w:tc>
        <w:tc>
          <w:tcPr>
            <w:tcW w:w="10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0.27</w:t>
            </w:r>
          </w:p>
        </w:tc>
        <w:tc>
          <w:tcPr>
            <w:tcW w:w="1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vertAlign w:val="baseline"/>
                <w:lang w:val="en-US" w:eastAsia="zh-CN"/>
              </w:rPr>
            </w:pPr>
            <w:r>
              <w:rPr>
                <w:rFonts w:hint="default" w:ascii="Times New Roman" w:hAnsi="Times New Roman" w:eastAsia="仿宋_GB2312" w:cs="Times New Roman"/>
                <w:b w:val="0"/>
                <w:bCs w:val="0"/>
                <w:color w:val="000000"/>
                <w:sz w:val="24"/>
                <w:szCs w:val="24"/>
                <w:vertAlign w:val="baseline"/>
                <w:lang w:val="en-US" w:eastAsia="zh-CN"/>
              </w:rPr>
              <w:t>9963</w:t>
            </w:r>
          </w:p>
        </w:tc>
        <w:tc>
          <w:tcPr>
            <w:tcW w:w="17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18"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备注：征地标准依据（遵府发〔2023〕12号）文件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贵州中赤酒业股份有限公司1万吨酱香型白酒技改扩能项目（二期）建设零星经济林木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lang w:val="en-US" w:eastAsia="zh-CN"/>
        </w:rPr>
        <w:t>补偿标准</w:t>
      </w:r>
    </w:p>
    <w:tbl>
      <w:tblPr>
        <w:tblStyle w:val="20"/>
        <w:tblW w:w="8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1"/>
        <w:gridCol w:w="2715"/>
        <w:gridCol w:w="1260"/>
        <w:gridCol w:w="1275"/>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种类</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规格</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补偿标准</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李、枣、拐枣、柿子、苹果、花红、杏、石榴、核桃、板栗、樱桃、梨、桃、桑葚、佳宝果等</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裸根苗定植后一个生产年，每亩超过143株按照143株计算。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定植第二年后至初挂果。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盛产期（胸径16cm以下）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 16-25cm（含 25cm）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胸径&gt;25cm元/株</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一般柑、橘、橙、柚类（沙田柚、红心蜜柚除外）</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容器苗，每亩超过125株按照125株计算。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沙田柚、红心蜜柚</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杨梅、枇杷等（指引进或嫁接的优良品种）</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裸根苗定植后一个生产年，每亩超过250株按照250株计算。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 16-25cm、冠幅&gt;10m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胸径&gt;26cm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葡萄、猕猴桃</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裸根苗定植后一个生产年，每亩超过500株按照500株计算。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花椒、油 桐、油茶、无花果、 漆树</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裸根苗定植后一个生产年，每亩超过200株按照200株计算。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杜仲、黄 柏、厚朴、椿树、银 杏等</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胸径2cm 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人工栽植的予以补偿，天然次生、萌生、丛生的不予补偿，每亩超过 40</w:t>
            </w:r>
            <w:r>
              <w:rPr>
                <w:rFonts w:hint="eastAsia" w:ascii="Times New Roman" w:hAnsi="Times New Roman" w:eastAsia="仿宋_GB2312" w:cs="Times New Roman"/>
                <w:i w:val="0"/>
                <w:iCs w:val="0"/>
                <w:color w:val="000000"/>
                <w:kern w:val="0"/>
                <w:sz w:val="24"/>
                <w:szCs w:val="24"/>
                <w:u w:val="none"/>
                <w:lang w:val="en-US" w:eastAsia="zh-CN" w:bidi="ar"/>
              </w:rPr>
              <w:t>0</w:t>
            </w:r>
            <w:r>
              <w:rPr>
                <w:rFonts w:hint="default" w:ascii="Times New Roman" w:hAnsi="Times New Roman" w:eastAsia="仿宋_GB2312" w:cs="Times New Roman"/>
                <w:i w:val="0"/>
                <w:iCs w:val="0"/>
                <w:color w:val="000000"/>
                <w:kern w:val="0"/>
                <w:sz w:val="24"/>
                <w:szCs w:val="24"/>
                <w:u w:val="none"/>
                <w:lang w:val="en-US" w:eastAsia="zh-CN" w:bidi="ar"/>
              </w:rPr>
              <w:t>株按400株计算。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胸径2-4cm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胸径4-6cm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胸径6-12cm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胸径12-20cm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茶树</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指单株茶树，丛生的一丛以一株算， 每亩超过2667 株按照2667株计算。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成长期（6cm以下）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20-26cm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棕树</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主干高50cm以下（含50 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主干高30㎝以下棕树苗不予补偿。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主干高50-100㎝（含100cm）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主干高100cm以上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麻竹、楠 竹、金竹、撑绿竹等</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胸径5-7cm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胸径7cm以上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香蕉、芭蕉</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成长期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成熟期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桂圆、荔枝</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高50-100cm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高100-150cm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胸径4-8cm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胸径9-10cm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胸径11-12cm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胸径12-20cm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榕树、美人树</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紫柏</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金丝楠木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 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按单株，丛生的一丛以一株算，每亩超过168棵按照168棵计算。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金弹子</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按单株，丛生的一丛以一株算，每亩超过260棵按照260棵计算。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铁树</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直径5cm以下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直径6-10cm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直径10cm以上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冠幅&lt;40cm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 41-50cm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 51-80cm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冠幅81-150cm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冠幅&gt;151cm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紫荆</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高30cm以下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高31-99cm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高100-150cm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高151cm以上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桂花、三角梅</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胸径3cm以下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每亩超过143株按照143株计算。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胸径3-5cm（不含5cm）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胸径5-7cm（不含7cm）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胸径7-9cm（不含9cm）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胸径9-11cm（不含11cm）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胸径11-13cm（不含13cm）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黄金柠檬</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月季</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冠幅＜30cm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冠幅30-50cm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冠幅51-80cm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冠幅81-100cm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冠幅101-150cm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冠幅151-200cm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冠幅＞201cm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甘蔗</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分蘖期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伸长期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成熟期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琯溪蜜柚</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霸王鞭</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成长期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竹</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胸径5cm以下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胸径5-7cm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胸径8cm以上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茶花</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定植2年以上（搬迁）</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紫薇</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定植2年以上（搬迁）</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栀子花</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栽植2年以上（搬迁）</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用材林及其他林木</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幼树（人工造林未成林和幼林）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保留株数100株/亩以上</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以1000元/亩记，达不到保留株数的以10元/株计算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胸径6-10cm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胸径6㎝以下的属于幼树，不予补偿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胸径11-15cm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胸径16-20cm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胸径21-30cm以上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胸径在30cm以上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吴茱萸</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初产期（胸径3cm以上）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盛产期（胸径5cm以上）</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黑老虎苗（布福娜）</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元/株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苗圃、花卉</w:t>
            </w:r>
          </w:p>
        </w:tc>
        <w:tc>
          <w:tcPr>
            <w:tcW w:w="3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5cm以下的，以上一年度同树木同规格苗木市场平均销售价乘以株数予以补偿，5cm以上的树木参照评估价值予以补偿。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bCs/>
                <w:i w:val="0"/>
                <w:iCs w:val="0"/>
                <w:color w:val="000000"/>
                <w:sz w:val="24"/>
                <w:szCs w:val="24"/>
                <w:u w:val="none"/>
              </w:rPr>
              <w:t>说明：</w:t>
            </w:r>
            <w:r>
              <w:rPr>
                <w:rFonts w:hint="default" w:ascii="Times New Roman" w:hAnsi="Times New Roman" w:eastAsia="仿宋_GB2312" w:cs="Times New Roman"/>
                <w:i w:val="0"/>
                <w:iCs w:val="0"/>
                <w:color w:val="000000"/>
                <w:sz w:val="24"/>
                <w:szCs w:val="24"/>
                <w:u w:val="none"/>
              </w:rPr>
              <w:t>1.苗期：裸根苗定植后一个生产年；</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2.成片经济林木苗株数必须达到初植密度的85%以上，超过初植密度的，按照成片经济林计算，不能按株数计算；</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3.胸径5cm以下的天然次生林木不予补偿；</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4.对于涉及极少特殊的珍贵树木、古树、大树和名木进行合理补偿；</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5.未列入此表的其他林地上的连片林木，按省政府令第124号的规定计算林木补偿费；</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eastAsia"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6.退耕还林地的林木补偿按国家及贵州省的有关规定执行</w:t>
            </w:r>
            <w:r>
              <w:rPr>
                <w:rFonts w:hint="eastAsia" w:ascii="Times New Roman" w:hAnsi="Times New Roman" w:eastAsia="仿宋_GB2312" w:cs="Times New Roman"/>
                <w:i w:val="0"/>
                <w:iCs w:val="0"/>
                <w:color w:val="00000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i w:val="0"/>
                <w:iCs w:val="0"/>
                <w:color w:val="000000"/>
                <w:kern w:val="2"/>
                <w:sz w:val="24"/>
                <w:szCs w:val="24"/>
                <w:u w:val="none"/>
                <w:lang w:val="en-US" w:eastAsia="zh-CN" w:bidi="ar-SA"/>
              </w:rPr>
              <w:t>7.零星经济林木补偿标准根据由习水县回龙镇人民政府委托贵州国信房地产资产评估公司所作的估价结果报告（黔国房估字〔2024〕1-0013号）</w:t>
            </w:r>
            <w:r>
              <w:rPr>
                <w:rFonts w:hint="eastAsia" w:ascii="Times New Roman" w:hAnsi="Times New Roman" w:eastAsia="仿宋_GB2312" w:cs="Times New Roman"/>
                <w:b w:val="0"/>
                <w:i w:val="0"/>
                <w:iCs w:val="0"/>
                <w:color w:val="000000"/>
                <w:kern w:val="2"/>
                <w:sz w:val="24"/>
                <w:szCs w:val="24"/>
                <w:u w:val="none"/>
                <w:lang w:val="en-US" w:eastAsia="zh-CN" w:bidi="ar-SA"/>
              </w:rPr>
              <w:t>。</w:t>
            </w:r>
          </w:p>
        </w:tc>
      </w:tr>
    </w:tbl>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580" w:firstLineChars="5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贵州中赤酒业股份有限公司1万吨酱香型白酒技改扩能项目（二期）建设成片经济林木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补偿标准</w:t>
      </w:r>
    </w:p>
    <w:p>
      <w:pPr>
        <w:pStyle w:val="2"/>
        <w:rPr>
          <w:rFonts w:hint="default"/>
          <w:lang w:val="en-US" w:eastAsia="zh-CN"/>
        </w:rPr>
      </w:pPr>
    </w:p>
    <w:tbl>
      <w:tblPr>
        <w:tblStyle w:val="20"/>
        <w:tblW w:w="88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7"/>
        <w:gridCol w:w="1829"/>
        <w:gridCol w:w="1380"/>
        <w:gridCol w:w="151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34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补偿类别</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计量单位</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补偿标准</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板栗</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核桃</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苹果、梨、桃、花红、杏、拐枣、石榴、李、柿子、樱桃</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柑、桔、橙、柚类</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杨梅、枇杷</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第二个生产年至初挂果期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葡萄、猕猴桃</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含葡萄架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含葡萄架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含葡萄架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百香果</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火龙果</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无花果</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定植第二年后至初挂果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凤梨</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草莓</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苗期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生长期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挂果期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用材林</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幼林、灌木林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高度6米及以下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乔木林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高度6米以上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麻竹、南竹、金竹、撑绿竹</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水竹</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杂竹</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规模饲草（5 亩以上）</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油桐、油茶</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定植第二年后至初挂果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茶叶</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杜仲、黄柏、银杏</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花椒</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产前期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定植第二年后至初挂果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初、衰产期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盛产期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太子参</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栽植1-2年</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三年以上的不做任何补偿，自行处理。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6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说明：</w:t>
            </w:r>
            <w:r>
              <w:rPr>
                <w:rFonts w:hint="default" w:ascii="Times New Roman" w:hAnsi="Times New Roman" w:eastAsia="仿宋_GB2312" w:cs="Times New Roman"/>
                <w:i w:val="0"/>
                <w:iCs w:val="0"/>
                <w:color w:val="000000"/>
                <w:kern w:val="0"/>
                <w:sz w:val="24"/>
                <w:szCs w:val="24"/>
                <w:u w:val="none"/>
                <w:lang w:val="en-US" w:eastAsia="zh-CN" w:bidi="ar"/>
              </w:rPr>
              <w:t>1.苗期补偿标准按产前期补偿标准50%计算；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708" w:firstLineChars="30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2.苗期：裸根苗定植后一个生产年；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708" w:firstLineChars="30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3.成片经济林木苗株数必须达到初植密度的85%以上，超过初植密度的，按照成片经济林计算，不能按株数计算；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708" w:firstLineChars="30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4.胸径5cm以下的天然次生林木不予补偿；</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708" w:firstLineChars="30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5.对于涉及极少特殊的珍贵树木、古树、大树和名木进行合理补偿；</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708" w:firstLineChars="30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6.未列入此表的其他林地上的连片林木，按省政府令第124号的规定计算林木补偿费；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708" w:firstLineChars="30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7.退耕还林地的林木补偿按国家及贵州省的有关规定执行</w:t>
            </w:r>
            <w:r>
              <w:rPr>
                <w:rFonts w:hint="eastAsia" w:ascii="Times New Roman" w:hAnsi="Times New Roman" w:eastAsia="仿宋_GB2312" w:cs="Times New Roman"/>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708" w:firstLineChars="300"/>
              <w:jc w:val="both"/>
              <w:textAlignment w:val="center"/>
              <w:rPr>
                <w:rFonts w:hint="default" w:ascii="Times New Roman" w:hAnsi="Times New Roman" w:cs="Times New Roman"/>
                <w:sz w:val="24"/>
                <w:szCs w:val="24"/>
                <w:lang w:val="en-US" w:eastAsia="zh-CN"/>
              </w:rPr>
            </w:pPr>
            <w:r>
              <w:rPr>
                <w:rFonts w:hint="default" w:ascii="Times New Roman" w:hAnsi="Times New Roman" w:eastAsia="仿宋_GB2312" w:cs="Times New Roman"/>
                <w:b w:val="0"/>
                <w:i w:val="0"/>
                <w:iCs w:val="0"/>
                <w:color w:val="000000"/>
                <w:kern w:val="2"/>
                <w:sz w:val="24"/>
                <w:szCs w:val="24"/>
                <w:u w:val="none"/>
                <w:lang w:val="en-US" w:eastAsia="zh-CN" w:bidi="ar-SA"/>
              </w:rPr>
              <w:t>8.成片经济林木补偿标准根据由习水县回龙镇人民政府委托贵州国信房地产资产评估公司所作的估价结果报告（黔国房估字〔2024〕1-0013号）</w:t>
            </w:r>
            <w:r>
              <w:rPr>
                <w:rFonts w:hint="eastAsia" w:ascii="Times New Roman" w:hAnsi="Times New Roman" w:eastAsia="仿宋_GB2312" w:cs="Times New Roman"/>
                <w:b w:val="0"/>
                <w:i w:val="0"/>
                <w:iCs w:val="0"/>
                <w:color w:val="000000"/>
                <w:kern w:val="2"/>
                <w:sz w:val="24"/>
                <w:szCs w:val="24"/>
                <w:u w:val="none"/>
                <w:lang w:val="en-US" w:eastAsia="zh-CN" w:bidi="ar-SA"/>
              </w:rPr>
              <w:t>。</w:t>
            </w:r>
          </w:p>
        </w:tc>
      </w:tr>
    </w:tbl>
    <w:p>
      <w:pPr>
        <w:pStyle w:val="2"/>
        <w:jc w:val="both"/>
        <w:rPr>
          <w:rFonts w:hint="default" w:ascii="Times New Roman" w:hAnsi="Times New Roman" w:eastAsia="黑体" w:cs="Times New Roman"/>
          <w:b w:val="0"/>
          <w:bCs w:val="0"/>
          <w:sz w:val="32"/>
          <w:szCs w:val="32"/>
          <w:lang w:val="en-US" w:eastAsia="zh-CN"/>
        </w:rPr>
      </w:pPr>
    </w:p>
    <w:p>
      <w:pPr>
        <w:pStyle w:val="2"/>
        <w:jc w:val="both"/>
        <w:rPr>
          <w:rFonts w:hint="default" w:ascii="Times New Roman" w:hAnsi="Times New Roman" w:eastAsia="黑体" w:cs="Times New Roman"/>
          <w:b w:val="0"/>
          <w:bCs w:val="0"/>
          <w:sz w:val="32"/>
          <w:szCs w:val="32"/>
          <w:lang w:val="en-US" w:eastAsia="zh-CN"/>
        </w:rPr>
      </w:pPr>
    </w:p>
    <w:p>
      <w:pPr>
        <w:pStyle w:val="2"/>
        <w:jc w:val="both"/>
        <w:rPr>
          <w:rFonts w:hint="default" w:ascii="Times New Roman" w:hAnsi="Times New Roman" w:eastAsia="黑体" w:cs="Times New Roman"/>
          <w:b w:val="0"/>
          <w:bCs w:val="0"/>
          <w:sz w:val="32"/>
          <w:szCs w:val="32"/>
          <w:lang w:val="en-US" w:eastAsia="zh-CN"/>
        </w:rPr>
      </w:pPr>
    </w:p>
    <w:p>
      <w:pPr>
        <w:pStyle w:val="2"/>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贵州中赤酒业股份有限公司1万吨酱香型白酒技改扩能项目（二期）建设待征收住房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市场评估补偿标准</w:t>
      </w:r>
    </w:p>
    <w:p>
      <w:pPr>
        <w:pStyle w:val="2"/>
        <w:rPr>
          <w:rFonts w:hint="default"/>
          <w:lang w:val="en-US" w:eastAsia="zh-CN"/>
        </w:rPr>
      </w:pPr>
    </w:p>
    <w:tbl>
      <w:tblPr>
        <w:tblStyle w:val="20"/>
        <w:tblW w:w="8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2271"/>
        <w:gridCol w:w="1615"/>
        <w:gridCol w:w="156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补偿类别</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补偿标准</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框架</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w:t>
            </w:r>
            <w:r>
              <w:rPr>
                <w:rFonts w:hint="default" w:ascii="Times New Roman" w:hAnsi="Times New Roman" w:eastAsia="仿宋_GB2312" w:cs="Times New Roman"/>
                <w:i w:val="0"/>
                <w:iCs w:val="0"/>
                <w:color w:val="000000"/>
                <w:kern w:val="0"/>
                <w:sz w:val="24"/>
                <w:szCs w:val="24"/>
                <w:u w:val="none"/>
                <w:vertAlign w:val="superscript"/>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1300</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砖混</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w:t>
            </w:r>
            <w:r>
              <w:rPr>
                <w:rFonts w:hint="default" w:ascii="Times New Roman" w:hAnsi="Times New Roman" w:eastAsia="仿宋_GB2312" w:cs="Times New Roman"/>
                <w:i w:val="0"/>
                <w:iCs w:val="0"/>
                <w:color w:val="000000"/>
                <w:kern w:val="0"/>
                <w:sz w:val="24"/>
                <w:szCs w:val="24"/>
                <w:u w:val="none"/>
                <w:vertAlign w:val="superscript"/>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1100</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砖木</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w:t>
            </w:r>
            <w:r>
              <w:rPr>
                <w:rFonts w:hint="default" w:ascii="Times New Roman" w:hAnsi="Times New Roman" w:eastAsia="仿宋_GB2312" w:cs="Times New Roman"/>
                <w:i w:val="0"/>
                <w:iCs w:val="0"/>
                <w:color w:val="000000"/>
                <w:kern w:val="0"/>
                <w:sz w:val="24"/>
                <w:szCs w:val="24"/>
                <w:u w:val="none"/>
                <w:vertAlign w:val="superscript"/>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780</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木、土、石</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w:t>
            </w:r>
            <w:r>
              <w:rPr>
                <w:rFonts w:hint="default" w:ascii="Times New Roman" w:hAnsi="Times New Roman" w:eastAsia="仿宋_GB2312" w:cs="Times New Roman"/>
                <w:i w:val="0"/>
                <w:iCs w:val="0"/>
                <w:color w:val="000000"/>
                <w:kern w:val="0"/>
                <w:sz w:val="24"/>
                <w:szCs w:val="24"/>
                <w:u w:val="none"/>
                <w:vertAlign w:val="superscript"/>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600</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石砌结构现浇</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w:t>
            </w:r>
            <w:r>
              <w:rPr>
                <w:rFonts w:hint="default" w:ascii="Times New Roman" w:hAnsi="Times New Roman" w:eastAsia="仿宋_GB2312" w:cs="Times New Roman"/>
                <w:i w:val="0"/>
                <w:iCs w:val="0"/>
                <w:color w:val="000000"/>
                <w:kern w:val="0"/>
                <w:sz w:val="24"/>
                <w:szCs w:val="24"/>
                <w:u w:val="none"/>
                <w:vertAlign w:val="superscript"/>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简易结构</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w:t>
            </w:r>
            <w:r>
              <w:rPr>
                <w:rFonts w:hint="default" w:ascii="Times New Roman" w:hAnsi="Times New Roman" w:eastAsia="仿宋_GB2312" w:cs="Times New Roman"/>
                <w:i w:val="0"/>
                <w:iCs w:val="0"/>
                <w:color w:val="000000"/>
                <w:kern w:val="0"/>
                <w:sz w:val="24"/>
                <w:szCs w:val="24"/>
                <w:u w:val="none"/>
                <w:vertAlign w:val="superscript"/>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330</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06" w:type="dxa"/>
            <w:gridSpan w:val="5"/>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bCs/>
                <w:i w:val="0"/>
                <w:iCs w:val="0"/>
                <w:color w:val="000000"/>
                <w:sz w:val="24"/>
                <w:szCs w:val="24"/>
                <w:u w:val="none"/>
              </w:rPr>
              <w:t>说明：</w:t>
            </w:r>
            <w:r>
              <w:rPr>
                <w:rFonts w:hint="default" w:ascii="Times New Roman" w:hAnsi="Times New Roman" w:eastAsia="仿宋_GB2312" w:cs="Times New Roman"/>
                <w:i w:val="0"/>
                <w:iCs w:val="0"/>
                <w:color w:val="000000"/>
                <w:sz w:val="24"/>
                <w:szCs w:val="24"/>
                <w:u w:val="none"/>
              </w:rPr>
              <w:t>1.房屋拆迁安置货币补偿标准针对建成区范围外，建成区范围内补偿标准参照《国有土地上房屋征收与补偿条例》相关标准进行补偿；</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2.本标准不含室内外装饰、附属设施及宅基地补偿；</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eastAsia"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3.生产、办公、库房等非住宅房屋，参照住房补偿标准执行</w:t>
            </w:r>
            <w:r>
              <w:rPr>
                <w:rFonts w:hint="eastAsia" w:ascii="Times New Roman" w:hAnsi="Times New Roman" w:eastAsia="仿宋_GB2312" w:cs="Times New Roman"/>
                <w:i w:val="0"/>
                <w:iCs w:val="0"/>
                <w:color w:val="00000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jc w:val="both"/>
              <w:textAlignment w:val="auto"/>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w:t>
            </w:r>
            <w:r>
              <w:rPr>
                <w:rFonts w:hint="default" w:ascii="Times New Roman" w:hAnsi="Times New Roman" w:eastAsia="仿宋_GB2312" w:cs="Times New Roman"/>
                <w:b w:val="0"/>
                <w:i w:val="0"/>
                <w:iCs w:val="0"/>
                <w:color w:val="000000"/>
                <w:kern w:val="2"/>
                <w:sz w:val="24"/>
                <w:szCs w:val="24"/>
                <w:u w:val="none"/>
                <w:lang w:val="en-US" w:eastAsia="zh-CN" w:bidi="ar-SA"/>
              </w:rPr>
              <w:t>补偿标准根据由习水县回龙镇人民政府委托贵州国信房地产资产评估公司所作的估价结果报告（黔国房估字〔2024〕1-0013号）</w:t>
            </w:r>
            <w:r>
              <w:rPr>
                <w:rFonts w:hint="eastAsia" w:ascii="Times New Roman" w:hAnsi="Times New Roman" w:eastAsia="仿宋_GB2312" w:cs="Times New Roman"/>
                <w:b w:val="0"/>
                <w:i w:val="0"/>
                <w:iCs w:val="0"/>
                <w:color w:val="000000"/>
                <w:kern w:val="2"/>
                <w:sz w:val="24"/>
                <w:szCs w:val="24"/>
                <w:u w:val="none"/>
                <w:lang w:val="en-US" w:eastAsia="zh-CN" w:bidi="ar-S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08" w:firstLineChars="3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贵州中赤酒业股份有限公司1万吨酱香型白酒技改扩能项目（二期）建设</w:t>
      </w:r>
      <w:r>
        <w:rPr>
          <w:rFonts w:hint="eastAsia" w:ascii="Times New Roman" w:hAnsi="Times New Roman" w:eastAsia="方正小标宋简体" w:cs="Times New Roman"/>
          <w:sz w:val="44"/>
          <w:szCs w:val="44"/>
          <w:lang w:val="en-US" w:eastAsia="zh-CN"/>
        </w:rPr>
        <w:t>房屋附属设施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补偿标准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tbl>
      <w:tblPr>
        <w:tblStyle w:val="20"/>
        <w:tblW w:w="8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
        <w:gridCol w:w="3150"/>
        <w:gridCol w:w="1155"/>
        <w:gridCol w:w="1355"/>
        <w:gridCol w:w="2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补偿标准</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座机电话（不含分机）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元/部</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宽带移户费</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元/户</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有线电视或村村通电视</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元/户</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挂式空调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元/台</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移机、安装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台式空调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元/台</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移机、安装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太阳能热水器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含管件及搬迁、安装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监控设备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含管件及搬迁、安装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电热水器（含煤气热水器）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含管件及搬迁、安装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照明设施（明线）</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以被征收房屋建筑面积为依据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照明设施（暗线）</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以被征收房屋建筑面积为依据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动力设施</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元/户</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有独立户头且安装三</w:t>
            </w:r>
            <w:r>
              <w:rPr>
                <w:rFonts w:hint="eastAsia" w:ascii="Times New Roman" w:hAnsi="Times New Roman" w:eastAsia="仿宋_GB2312" w:cs="Times New Roman"/>
                <w:i w:val="0"/>
                <w:iCs w:val="0"/>
                <w:color w:val="000000"/>
                <w:kern w:val="0"/>
                <w:sz w:val="24"/>
                <w:szCs w:val="24"/>
                <w:u w:val="none"/>
                <w:lang w:val="en-US" w:eastAsia="zh-CN" w:bidi="ar"/>
              </w:rPr>
              <w:t>相</w:t>
            </w:r>
            <w:r>
              <w:rPr>
                <w:rFonts w:hint="default" w:ascii="Times New Roman" w:hAnsi="Times New Roman" w:eastAsia="仿宋_GB2312" w:cs="Times New Roman"/>
                <w:i w:val="0"/>
                <w:iCs w:val="0"/>
                <w:color w:val="000000"/>
                <w:kern w:val="0"/>
                <w:sz w:val="24"/>
                <w:szCs w:val="24"/>
                <w:u w:val="none"/>
                <w:lang w:val="en-US" w:eastAsia="zh-CN" w:bidi="ar"/>
              </w:rPr>
              <w:t>动力电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独立电表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元/户</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具有在供电局开户的电表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灶面为大理石（花岗石）灶台</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普通灶头（含贴砖）</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安装有热水包增加补偿费200元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小型地面卫星接收设施</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移机安装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自行引水（含安装费）</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元/户</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含材料及安装费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市政供水设施</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元/户</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含材料及安装费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天然气</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元/户</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含管件及搬迁、安装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吊扇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元/个</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乒乓球台</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元/个</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灭火器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元/个</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篮球板</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元/个</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不锈钢国旗旗杆</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元/根</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教学音响系统</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不锈钢大门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钢管大门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课桌</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元/张</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铁皮档案柜</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元/个</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信号发射器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元/个</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污水管道（200毫米直径）</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污水井</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不锈钢酒罐</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3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抽油烟机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含管件及搬迁、安装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1" w:type="dxa"/>
            <w:gridSpan w:val="5"/>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2"/>
                <w:sz w:val="24"/>
                <w:szCs w:val="24"/>
                <w:u w:val="none"/>
                <w:lang w:val="en-US" w:eastAsia="zh-CN" w:bidi="ar-SA"/>
              </w:rPr>
              <w:t>备注：</w:t>
            </w:r>
            <w:r>
              <w:rPr>
                <w:rFonts w:hint="default" w:ascii="Times New Roman" w:hAnsi="Times New Roman" w:eastAsia="仿宋_GB2312" w:cs="Times New Roman"/>
                <w:b w:val="0"/>
                <w:i w:val="0"/>
                <w:iCs w:val="0"/>
                <w:color w:val="000000"/>
                <w:kern w:val="2"/>
                <w:sz w:val="24"/>
                <w:szCs w:val="24"/>
                <w:u w:val="none"/>
                <w:lang w:val="en-US" w:eastAsia="zh-CN" w:bidi="ar-SA"/>
              </w:rPr>
              <w:t>房屋附属设施补偿标准根据由习水县回龙镇人民政府委托贵州国信房地产资产评估公司所作的估价结果报告（黔国房估字〔2024〕1-0013号）</w:t>
            </w:r>
          </w:p>
        </w:tc>
      </w:tr>
    </w:tbl>
    <w:p>
      <w:pPr>
        <w:pStyle w:val="10"/>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贵州中赤酒业股份有限公司1万吨酱香型白酒技改扩能项目（二期）建设</w:t>
      </w:r>
      <w:r>
        <w:rPr>
          <w:rFonts w:hint="eastAsia" w:ascii="Times New Roman" w:hAnsi="Times New Roman" w:eastAsia="方正小标宋简体" w:cs="Times New Roman"/>
          <w:sz w:val="44"/>
          <w:szCs w:val="44"/>
          <w:lang w:val="en-US" w:eastAsia="zh-CN"/>
        </w:rPr>
        <w:t>房屋装饰装修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补偿标准</w:t>
      </w:r>
    </w:p>
    <w:p>
      <w:pPr>
        <w:pStyle w:val="10"/>
        <w:keepNext w:val="0"/>
        <w:keepLines w:val="0"/>
        <w:pageBreakBefore w:val="0"/>
        <w:widowControl w:val="0"/>
        <w:kinsoku/>
        <w:wordWrap/>
        <w:overflowPunct/>
        <w:topLinePunct w:val="0"/>
        <w:autoSpaceDE/>
        <w:autoSpaceDN/>
        <w:bidi w:val="0"/>
        <w:adjustRightInd/>
        <w:snapToGrid/>
        <w:spacing w:line="400" w:lineRule="exact"/>
        <w:ind w:left="142"/>
        <w:textAlignment w:val="auto"/>
        <w:rPr>
          <w:rFonts w:hint="default" w:ascii="Times New Roman" w:hAnsi="Times New Roman" w:cs="Times New Roman"/>
          <w:lang w:val="en-US" w:eastAsia="zh-CN"/>
        </w:rPr>
      </w:pPr>
    </w:p>
    <w:tbl>
      <w:tblPr>
        <w:tblStyle w:val="20"/>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3466"/>
        <w:gridCol w:w="1005"/>
        <w:gridCol w:w="1274"/>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补偿标准</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外墙装饰</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外墙面砖或水洗石外墙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按贴砖或水洗石面积计算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外墙涂料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按涂料面积计算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黔北民居房屋顶盖（砖木结构）</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按顶盖面积计算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黔北民居房屋顶盖（砖混结构）</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按顶盖面积计算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外墙水泥清光</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按清光面积计算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外墙真石漆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按实际面积计算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外墙水包沙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按实际面积计算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内墙装饰</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仿瓷</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乳胶漆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墙纸</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硅藻泥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刺绣墙布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普通墙布（高档）</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普通墙布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集成墙板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木质墙面</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瓷砖墙面</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木墙裙（高度1米左右）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符合装饰装修材料标准（有产品合格证）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瓷砖墙裙（高度1米左右）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铝塑板墙裙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电视墙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桑拿板（普通板）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桑拿板（杉木板）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1cm以上厚度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桑拿板（含龙骨架）</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天棚装饰</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木质吊顶（集成吊顶）</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含龙骨架，不含龙骨架的下浮20％</w:t>
            </w:r>
            <w:r>
              <w:rPr>
                <w:rFonts w:hint="eastAsia" w:ascii="Times New Roman" w:hAnsi="Times New Roman" w:eastAsia="仿宋_GB2312"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石膏板吊顶</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含龙骨架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铝塑板吊顶</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含龙骨架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塑料扣板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含龙骨架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合金板扣板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含龙骨架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石膏线条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木线条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木墙板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地面装饰</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60cm×60cm以下地板砖</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60cm×60cm地板砖</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80cm×80cm地板砖</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75cm×150cm地板砖</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大理石、花岗石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地脚线（木质）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地脚线（瓷砖）</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简易木地板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竹、实木地板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拼花木地板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强化、复合木地板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普通木地板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水磨石地坪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金属门窗</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铝合金卷帘门、窗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电动铝合金卷帘门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防撬（防盗）门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元/道</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铝合金隔断门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钢条防盗门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铝合金窗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不锈钢防盗窗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钢条防盗窗（门）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铝合金防盗窗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纱窗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钢棚</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精装修门窗</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成品套装门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三合板、椴木贴面自制门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不锈钢、铝合金大门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普通木门（窗）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元/樘</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实木大门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雕花实木门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元/樘</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窗套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套装实木门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元/樘</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木质雕花窗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窗户雨棚</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塑料雨棚</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不锈钢雨棚</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门头</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喷绘</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无门头框架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喷绘</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门头框架为钢结构、木结构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铝塑板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门头框架为钢结构、木结构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室内护栏</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铁花</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砖砌水泥清光</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贴砖、罗马柱、花瓶柱</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铝合金立柱+玻璃+木质扶手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铝合金立柱+木质扶手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雕花玻璃</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厚度8mm及以下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厚度8mm以上</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室内隔断</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室内玻璃隔断</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室内木质隔断</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元/㎡</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固定柜</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壁柜</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吊柜（高700mm及以下）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装饰柜</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卫生洁具</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台式面盆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浴缸</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整体浴室（成品淋浴房）</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搬迁、安装费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蹲式大便器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坐式大便器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不锈钢面盆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元/套</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不锈钢水塔</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元/个</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bCs/>
                <w:i w:val="0"/>
                <w:iCs w:val="0"/>
                <w:color w:val="000000"/>
                <w:kern w:val="2"/>
                <w:sz w:val="24"/>
                <w:szCs w:val="24"/>
                <w:u w:val="none"/>
                <w:lang w:val="en-US" w:eastAsia="zh-CN" w:bidi="ar-SA"/>
              </w:rPr>
              <w:t>备注：</w:t>
            </w:r>
            <w:r>
              <w:rPr>
                <w:rFonts w:hint="default" w:ascii="Times New Roman" w:hAnsi="Times New Roman" w:eastAsia="仿宋_GB2312" w:cs="Times New Roman"/>
                <w:b w:val="0"/>
                <w:i w:val="0"/>
                <w:iCs w:val="0"/>
                <w:color w:val="000000"/>
                <w:kern w:val="2"/>
                <w:sz w:val="24"/>
                <w:szCs w:val="24"/>
                <w:u w:val="none"/>
                <w:lang w:val="en-US" w:eastAsia="zh-CN" w:bidi="ar-SA"/>
              </w:rPr>
              <w:t>房屋装饰装修补偿标准根据由习水县回龙镇人民政府委托贵州国信房地产资产评估公司所作的估价结果报告（黔国房估字〔2024〕1-0013号）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bCs/>
          <w:sz w:val="32"/>
          <w:szCs w:val="32"/>
          <w:lang w:val="en-US" w:eastAsia="zh-CN"/>
        </w:rPr>
      </w:pPr>
    </w:p>
    <w:p>
      <w:pPr>
        <w:pStyle w:val="2"/>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贵州中赤酒业股份有限公司1万吨酱香型白酒技改扩能项目（二期）建设</w:t>
      </w:r>
      <w:r>
        <w:rPr>
          <w:rFonts w:hint="eastAsia" w:ascii="Times New Roman" w:hAnsi="Times New Roman" w:eastAsia="方正小标宋简体" w:cs="Times New Roman"/>
          <w:sz w:val="44"/>
          <w:szCs w:val="44"/>
          <w:lang w:val="en-US" w:eastAsia="zh-CN"/>
        </w:rPr>
        <w:t>房屋构筑物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补偿标准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tbl>
      <w:tblPr>
        <w:tblStyle w:val="20"/>
        <w:tblW w:w="8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61"/>
        <w:gridCol w:w="1170"/>
        <w:gridCol w:w="1319"/>
        <w:gridCol w:w="2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类别</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单位</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补偿标准</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围墙</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实心砖围墙</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含粉糊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浆砌石围墙</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空心砖砌围墙</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片石干砌围墙</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简易土质围墙</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铁艺围墙栏杆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围墙基础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堡坎</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浆砌石堡坎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干砌石堡坎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混凝土堡坎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毛石混凝土堡坎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w:t>
            </w:r>
            <w:r>
              <w:rPr>
                <w:rFonts w:hint="eastAsia" w:ascii="Times New Roman" w:hAnsi="Times New Roman" w:eastAsia="仿宋_GB2312" w:cs="Times New Roman"/>
                <w:i w:val="0"/>
                <w:iCs w:val="0"/>
                <w:color w:val="000000"/>
                <w:kern w:val="0"/>
                <w:sz w:val="24"/>
                <w:szCs w:val="24"/>
                <w:u w:val="none"/>
                <w:lang w:val="en-US" w:eastAsia="zh-CN" w:bidi="ar"/>
              </w:rPr>
              <w:t>勾</w:t>
            </w:r>
            <w:r>
              <w:rPr>
                <w:rFonts w:hint="default" w:ascii="Times New Roman" w:hAnsi="Times New Roman" w:eastAsia="仿宋_GB2312" w:cs="Times New Roman"/>
                <w:i w:val="0"/>
                <w:iCs w:val="0"/>
                <w:color w:val="000000"/>
                <w:kern w:val="0"/>
                <w:sz w:val="24"/>
                <w:szCs w:val="24"/>
                <w:u w:val="none"/>
                <w:lang w:val="en-US" w:eastAsia="zh-CN" w:bidi="ar"/>
              </w:rPr>
              <w:t>平缝</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浆砌</w:t>
            </w:r>
            <w:r>
              <w:rPr>
                <w:rFonts w:hint="eastAsia" w:ascii="Times New Roman" w:hAnsi="Times New Roman" w:eastAsia="仿宋_GB2312" w:cs="Times New Roman"/>
                <w:i w:val="0"/>
                <w:iCs w:val="0"/>
                <w:color w:val="000000"/>
                <w:kern w:val="0"/>
                <w:sz w:val="24"/>
                <w:szCs w:val="24"/>
                <w:u w:val="none"/>
                <w:lang w:val="en-US" w:eastAsia="zh-CN" w:bidi="ar"/>
              </w:rPr>
              <w:t>勾</w:t>
            </w:r>
            <w:r>
              <w:rPr>
                <w:rFonts w:hint="default" w:ascii="Times New Roman" w:hAnsi="Times New Roman" w:eastAsia="仿宋_GB2312" w:cs="Times New Roman"/>
                <w:i w:val="0"/>
                <w:iCs w:val="0"/>
                <w:color w:val="000000"/>
                <w:kern w:val="0"/>
                <w:sz w:val="24"/>
                <w:szCs w:val="24"/>
                <w:u w:val="none"/>
                <w:lang w:val="en-US" w:eastAsia="zh-CN" w:bidi="ar"/>
              </w:rPr>
              <w:t>凸缝</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晒坝</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混凝土晒坝</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石晒坝</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简易水泥、三合土、碎石地坪</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贴砖花池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水泥清光花池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坝子栏杆（贴砖、罗马柱）</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8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高度1.2米以上按围墙计算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坝子栏杆（砖、石砌粉糊清光）</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坝子栏杆（砖、石砌未粉糊）</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青石地坪</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拦水线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50cm以下（不含50cm)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水池、水窖、粪池、鱼塘、水井</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按混凝土实际方量计算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砖石浆砌</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按砖石浆砌实际方量计算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混凝土盖</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按混凝土盖面积计算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水池水管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按照市场价计算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水泥管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鱼塘水泥踩底</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鱼塘堤干按堡坎计算；产值补偿根据实际情况补偿，但不得超出耕地年产值的3倍。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人工水井（深度2米以内）人工费补偿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元/口</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每超深1米，按250元/米据实增加；水源不进行补偿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机井</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按机井深度计算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人饮水池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土石（砖）混合</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按土石（砖）混合实际方量计算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土石方开挖</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水池水管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口</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畜圈、厕 所、煤房、烤烟烘房等</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框架、砖混结构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砖木结构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土木结构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土瓦窑</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按窑洞体积计算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木瓦结构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棚子</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简易棚、木结构棚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钢架彩钢棚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四周有砖砌体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砖结构棚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金属结构棚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硬化道路</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人行道</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机耕道</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青石板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机车道</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柏油路面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沟渠</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混凝土沟渠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按砌体实际方量计算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蔬菜大棚</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钢结构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高度不足2米的，按补偿标准减少30%。棚内安装滴灌系统的，另增加6元/㎡。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竹篾结构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雨棚</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不锈钢铝合金钢化玻璃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雨阳棚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塑料阳光棚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电杆</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木电杆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元/根</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水泥电杆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元/根</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8米以上每增加1米加50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太阳能电杆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元/根</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含杆上太阳能灯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蜂桶搬迁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元/桶</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搬迁费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水塔</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水塔</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1吨以下</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水塔</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1吨以上</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水缸</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元/口</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沼气池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元/m³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以容积计算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9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2"/>
                <w:sz w:val="24"/>
                <w:szCs w:val="24"/>
                <w:u w:val="none"/>
                <w:lang w:val="en-US" w:eastAsia="zh-CN" w:bidi="ar-SA"/>
              </w:rPr>
              <w:t>备注：</w:t>
            </w:r>
            <w:r>
              <w:rPr>
                <w:rFonts w:hint="default" w:ascii="Times New Roman" w:hAnsi="Times New Roman" w:eastAsia="仿宋_GB2312" w:cs="Times New Roman"/>
                <w:b w:val="0"/>
                <w:i w:val="0"/>
                <w:iCs w:val="0"/>
                <w:color w:val="000000"/>
                <w:kern w:val="2"/>
                <w:sz w:val="24"/>
                <w:szCs w:val="24"/>
                <w:u w:val="none"/>
                <w:lang w:val="en-US" w:eastAsia="zh-CN" w:bidi="ar-SA"/>
              </w:rPr>
              <w:t>房屋构筑物补偿标准根据由习水县回龙镇人民政府委托贵州国信房地产 资产评估公司所作的估价结果报告（黔国房估字〔2024〕1-0013号）</w:t>
            </w:r>
          </w:p>
        </w:tc>
      </w:tr>
    </w:tbl>
    <w:p>
      <w:pPr>
        <w:pStyle w:val="2"/>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b w:val="0"/>
          <w:bCs w:val="0"/>
          <w:sz w:val="32"/>
          <w:szCs w:val="32"/>
          <w:lang w:val="en-US" w:eastAsia="zh-CN"/>
        </w:rPr>
        <w:t>附</w:t>
      </w:r>
      <w:r>
        <w:rPr>
          <w:rFonts w:hint="eastAsia" w:ascii="Times New Roman" w:hAnsi="Times New Roman" w:eastAsia="黑体" w:cs="Times New Roman"/>
          <w:b w:val="0"/>
          <w:bCs w:val="0"/>
          <w:sz w:val="32"/>
          <w:szCs w:val="32"/>
          <w:lang w:val="en-US" w:eastAsia="zh-CN"/>
        </w:rPr>
        <w:t>件</w:t>
      </w:r>
      <w:r>
        <w:rPr>
          <w:rFonts w:hint="default" w:ascii="Times New Roman" w:hAnsi="Times New Roman" w:eastAsia="黑体" w:cs="Times New Roman"/>
          <w:b w:val="0"/>
          <w:bCs w:val="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pacing w:val="-2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pacing w:val="-20"/>
          <w:sz w:val="44"/>
          <w:szCs w:val="44"/>
          <w:lang w:val="en-US" w:eastAsia="zh-CN"/>
        </w:rPr>
        <w:t>贵州中赤酒业股份有限公司1万吨酱香型白酒技改</w:t>
      </w:r>
      <w:r>
        <w:rPr>
          <w:rFonts w:hint="default" w:ascii="Times New Roman" w:hAnsi="Times New Roman" w:eastAsia="方正小标宋简体" w:cs="Times New Roman"/>
          <w:spacing w:val="-11"/>
          <w:sz w:val="44"/>
          <w:szCs w:val="44"/>
          <w:lang w:val="en-US" w:eastAsia="zh-CN"/>
        </w:rPr>
        <w:t>扩能项目（二期）建设坟墓搬迁补偿标准</w:t>
      </w:r>
    </w:p>
    <w:p>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default"/>
          <w:lang w:val="en-US" w:eastAsia="zh-CN"/>
        </w:rPr>
      </w:pPr>
    </w:p>
    <w:tbl>
      <w:tblPr>
        <w:tblStyle w:val="21"/>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879"/>
        <w:gridCol w:w="1254"/>
        <w:gridCol w:w="1839"/>
        <w:gridCol w:w="16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补偿类别</w:t>
            </w: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名称</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计量单位</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补偿标准（元）</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奖励标准（元）</w:t>
            </w:r>
          </w:p>
        </w:tc>
        <w:tc>
          <w:tcPr>
            <w:tcW w:w="57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坟墓</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auto"/>
                <w:sz w:val="24"/>
                <w:szCs w:val="24"/>
                <w:lang w:val="en-US" w:eastAsia="zh-CN"/>
              </w:rPr>
              <w:t>料石坟</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auto"/>
                <w:sz w:val="24"/>
                <w:szCs w:val="24"/>
                <w:lang w:val="en-US" w:eastAsia="zh-CN"/>
              </w:rPr>
              <w:t>元／座</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auto"/>
                <w:sz w:val="24"/>
                <w:szCs w:val="24"/>
                <w:lang w:val="en-US" w:eastAsia="zh-CN"/>
              </w:rPr>
              <w:t>2500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auto"/>
                <w:sz w:val="24"/>
                <w:szCs w:val="24"/>
                <w:lang w:val="en-US" w:eastAsia="zh-CN"/>
              </w:rPr>
              <w:t>2500</w:t>
            </w:r>
          </w:p>
        </w:tc>
        <w:tc>
          <w:tcPr>
            <w:tcW w:w="578"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合坟按1.5座计；在协议规定时间内搬迁的享受上述奖励政策。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砌石、土石坟</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元／座</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1500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2500</w:t>
            </w: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土、乱石坟</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元／座</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1100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1500</w:t>
            </w: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坟碑（单碑）</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元／块</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900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坟碑帽（连体）</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元／块</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1100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内箱</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元／座</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4000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lang w:val="en-US" w:eastAsia="zh-CN"/>
              </w:rPr>
              <w:t>附属设施及其它建构筑物</w:t>
            </w: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浆砌石围墙</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元/m³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230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片石干砌围墙</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元/m³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180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围墙基础</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90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浆砌石堡坎</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元/m³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230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干砌石堡坎</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元/m³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150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毛石混凝土堡坎</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元/m³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310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混凝土堡坎</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元/m³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360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混凝土坟坝</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栏杆</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元/米</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50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浆砌石基础</w:t>
            </w:r>
          </w:p>
        </w:tc>
        <w:tc>
          <w:tcPr>
            <w:tcW w:w="70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元/㎡</w:t>
            </w:r>
          </w:p>
        </w:tc>
        <w:tc>
          <w:tcPr>
            <w:tcW w:w="10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180</w:t>
            </w:r>
          </w:p>
        </w:tc>
        <w:tc>
          <w:tcPr>
            <w:tcW w:w="94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57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备注：1.坟墓占地补偿按照坟墓实际占用土地地类的补偿标准执行（无青苗补偿费）；</w:t>
            </w:r>
          </w:p>
          <w:p>
            <w:pPr>
              <w:keepNext w:val="0"/>
              <w:keepLines w:val="0"/>
              <w:pageBreakBefore w:val="0"/>
              <w:widowControl w:val="0"/>
              <w:kinsoku/>
              <w:wordWrap/>
              <w:overflowPunct/>
              <w:topLinePunct w:val="0"/>
              <w:autoSpaceDE/>
              <w:autoSpaceDN/>
              <w:bidi w:val="0"/>
              <w:adjustRightInd/>
              <w:snapToGrid/>
              <w:spacing w:line="400" w:lineRule="exact"/>
              <w:ind w:firstLine="708" w:firstLineChars="3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2.坟墓搬迁补偿标准根据由习水县回龙镇人民政府委托贵州国信房地产资产评估公司所作的估价结果报告（黔国房估字〔2024〕1-0013号）。</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p>
        </w:tc>
      </w:tr>
    </w:tbl>
    <w:p>
      <w:pPr>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28</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p>
    <w:pPr>
      <w:pStyle w:val="14"/>
      <w:rPr>
        <w:rFonts w:ascii="宋体" w:hAnsi="宋体"/>
        <w:sz w:val="28"/>
        <w:szCs w:val="28"/>
      </w:rPr>
    </w:pPr>
    <w:r>
      <w:rPr>
        <w:sz w:val="1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TgyMDQ3ZmE0MDZlN2Y4OTMzNDkwMDQ0MWY3NjAifQ=="/>
  </w:docVars>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CD7A2F"/>
    <w:rsid w:val="09367E91"/>
    <w:rsid w:val="0B172B90"/>
    <w:rsid w:val="0B842F0B"/>
    <w:rsid w:val="0C576A65"/>
    <w:rsid w:val="0D043BFD"/>
    <w:rsid w:val="0D115A62"/>
    <w:rsid w:val="0DAC1CA5"/>
    <w:rsid w:val="0ED3244D"/>
    <w:rsid w:val="0EEB1C90"/>
    <w:rsid w:val="0F9A1997"/>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D447130"/>
    <w:rsid w:val="1D6E5717"/>
    <w:rsid w:val="1D7F7B56"/>
    <w:rsid w:val="1E884039"/>
    <w:rsid w:val="1ED50A9A"/>
    <w:rsid w:val="1F9E1976"/>
    <w:rsid w:val="1FAD5E16"/>
    <w:rsid w:val="1FE4657F"/>
    <w:rsid w:val="1FF5B6CD"/>
    <w:rsid w:val="1FFF0584"/>
    <w:rsid w:val="20CC2008"/>
    <w:rsid w:val="20CD52C4"/>
    <w:rsid w:val="24041E82"/>
    <w:rsid w:val="2441672F"/>
    <w:rsid w:val="251A0B4B"/>
    <w:rsid w:val="256610DA"/>
    <w:rsid w:val="25B02299"/>
    <w:rsid w:val="25DD45B4"/>
    <w:rsid w:val="25DF579A"/>
    <w:rsid w:val="25E770D1"/>
    <w:rsid w:val="268665E1"/>
    <w:rsid w:val="270C7C62"/>
    <w:rsid w:val="271415ED"/>
    <w:rsid w:val="279F19FC"/>
    <w:rsid w:val="27F94916"/>
    <w:rsid w:val="2BEBA316"/>
    <w:rsid w:val="2D4B06FF"/>
    <w:rsid w:val="2DFFFC32"/>
    <w:rsid w:val="2E9B5455"/>
    <w:rsid w:val="2F046DFA"/>
    <w:rsid w:val="2F253F8F"/>
    <w:rsid w:val="2F883226"/>
    <w:rsid w:val="2FA3FB0E"/>
    <w:rsid w:val="2FE1CDFB"/>
    <w:rsid w:val="2FEFE045"/>
    <w:rsid w:val="2FFE0F3C"/>
    <w:rsid w:val="2FFEBEC4"/>
    <w:rsid w:val="32AB6671"/>
    <w:rsid w:val="32AE0E09"/>
    <w:rsid w:val="32F403BA"/>
    <w:rsid w:val="33027333"/>
    <w:rsid w:val="3308763D"/>
    <w:rsid w:val="33584C1F"/>
    <w:rsid w:val="33B85E3C"/>
    <w:rsid w:val="340261AB"/>
    <w:rsid w:val="349D47D9"/>
    <w:rsid w:val="34F5DC09"/>
    <w:rsid w:val="35AD8CC6"/>
    <w:rsid w:val="3708729F"/>
    <w:rsid w:val="372741F3"/>
    <w:rsid w:val="37331C15"/>
    <w:rsid w:val="378F06B4"/>
    <w:rsid w:val="387A7E26"/>
    <w:rsid w:val="387F2C5B"/>
    <w:rsid w:val="38AD5ED1"/>
    <w:rsid w:val="3A9110D2"/>
    <w:rsid w:val="3ACF6058"/>
    <w:rsid w:val="3B837531"/>
    <w:rsid w:val="3CF220B5"/>
    <w:rsid w:val="3CFA33E8"/>
    <w:rsid w:val="3CFE7FD1"/>
    <w:rsid w:val="3D4E773E"/>
    <w:rsid w:val="3D880F9F"/>
    <w:rsid w:val="3DCA5575"/>
    <w:rsid w:val="3E0B0106"/>
    <w:rsid w:val="3F3DD0B3"/>
    <w:rsid w:val="3FA75389"/>
    <w:rsid w:val="3FAE5EF7"/>
    <w:rsid w:val="3FF6575A"/>
    <w:rsid w:val="40871FA0"/>
    <w:rsid w:val="40F935F0"/>
    <w:rsid w:val="432C1904"/>
    <w:rsid w:val="44E37F99"/>
    <w:rsid w:val="45C16A47"/>
    <w:rsid w:val="46387620"/>
    <w:rsid w:val="46612108"/>
    <w:rsid w:val="46745C64"/>
    <w:rsid w:val="477C6CCD"/>
    <w:rsid w:val="477F542F"/>
    <w:rsid w:val="477F71A6"/>
    <w:rsid w:val="47970137"/>
    <w:rsid w:val="47A7651A"/>
    <w:rsid w:val="490528E6"/>
    <w:rsid w:val="49261DC0"/>
    <w:rsid w:val="497A43BB"/>
    <w:rsid w:val="49EE05BE"/>
    <w:rsid w:val="4A34038E"/>
    <w:rsid w:val="4A483E41"/>
    <w:rsid w:val="4AB23958"/>
    <w:rsid w:val="4AB420EE"/>
    <w:rsid w:val="4ADB6BF6"/>
    <w:rsid w:val="4B012A07"/>
    <w:rsid w:val="4BA65193"/>
    <w:rsid w:val="4D8E07D2"/>
    <w:rsid w:val="4E110306"/>
    <w:rsid w:val="4ED20312"/>
    <w:rsid w:val="4EE1783B"/>
    <w:rsid w:val="4FFAC6D3"/>
    <w:rsid w:val="504C4101"/>
    <w:rsid w:val="504F75C4"/>
    <w:rsid w:val="50B441D5"/>
    <w:rsid w:val="517C6581"/>
    <w:rsid w:val="51BA78EE"/>
    <w:rsid w:val="520B5799"/>
    <w:rsid w:val="522153FA"/>
    <w:rsid w:val="5232101E"/>
    <w:rsid w:val="52DA4C09"/>
    <w:rsid w:val="53BEE17D"/>
    <w:rsid w:val="53FDCC15"/>
    <w:rsid w:val="542E6AE2"/>
    <w:rsid w:val="54667FC1"/>
    <w:rsid w:val="54C73613"/>
    <w:rsid w:val="54C80CE2"/>
    <w:rsid w:val="54E04AE3"/>
    <w:rsid w:val="54E429FF"/>
    <w:rsid w:val="553602FA"/>
    <w:rsid w:val="55414364"/>
    <w:rsid w:val="562D2CF6"/>
    <w:rsid w:val="567BB764"/>
    <w:rsid w:val="56D9282A"/>
    <w:rsid w:val="56EF4105"/>
    <w:rsid w:val="571A0D63"/>
    <w:rsid w:val="57E2A0FD"/>
    <w:rsid w:val="57F6A742"/>
    <w:rsid w:val="57FF9854"/>
    <w:rsid w:val="588A19D9"/>
    <w:rsid w:val="589D707D"/>
    <w:rsid w:val="58A17895"/>
    <w:rsid w:val="590B4CE0"/>
    <w:rsid w:val="590F8C27"/>
    <w:rsid w:val="5992772C"/>
    <w:rsid w:val="59B155B6"/>
    <w:rsid w:val="5A7A26D7"/>
    <w:rsid w:val="5B047D40"/>
    <w:rsid w:val="5B570420"/>
    <w:rsid w:val="5B846A5C"/>
    <w:rsid w:val="5B8DF95C"/>
    <w:rsid w:val="5BAFCAED"/>
    <w:rsid w:val="5C717F12"/>
    <w:rsid w:val="5CBC3219"/>
    <w:rsid w:val="5D045FC9"/>
    <w:rsid w:val="5D5D3FA4"/>
    <w:rsid w:val="5D6E1B81"/>
    <w:rsid w:val="5D9D24FE"/>
    <w:rsid w:val="5DB18B0A"/>
    <w:rsid w:val="5DBE2A84"/>
    <w:rsid w:val="5DBF40EF"/>
    <w:rsid w:val="5DDDD12E"/>
    <w:rsid w:val="5DF247B5"/>
    <w:rsid w:val="5EBFE272"/>
    <w:rsid w:val="5F5F104B"/>
    <w:rsid w:val="5F86218F"/>
    <w:rsid w:val="5FC3CC4B"/>
    <w:rsid w:val="5FD18AEC"/>
    <w:rsid w:val="5FF70733"/>
    <w:rsid w:val="5FFEEE94"/>
    <w:rsid w:val="5FFF8E68"/>
    <w:rsid w:val="61526095"/>
    <w:rsid w:val="62393E6D"/>
    <w:rsid w:val="62F82F85"/>
    <w:rsid w:val="632A5EE7"/>
    <w:rsid w:val="63943483"/>
    <w:rsid w:val="63946A60"/>
    <w:rsid w:val="639A2152"/>
    <w:rsid w:val="645659B0"/>
    <w:rsid w:val="646374F6"/>
    <w:rsid w:val="64EC1D44"/>
    <w:rsid w:val="64F5141E"/>
    <w:rsid w:val="65241FA7"/>
    <w:rsid w:val="6587411B"/>
    <w:rsid w:val="65F66C70"/>
    <w:rsid w:val="65F79702"/>
    <w:rsid w:val="66B726C9"/>
    <w:rsid w:val="67176B71"/>
    <w:rsid w:val="672A0AFE"/>
    <w:rsid w:val="673018F1"/>
    <w:rsid w:val="675BC058"/>
    <w:rsid w:val="67BF2FB5"/>
    <w:rsid w:val="67D7661C"/>
    <w:rsid w:val="67DC1429"/>
    <w:rsid w:val="6835740F"/>
    <w:rsid w:val="68FA278B"/>
    <w:rsid w:val="69261D63"/>
    <w:rsid w:val="6A17352C"/>
    <w:rsid w:val="6AA83B3E"/>
    <w:rsid w:val="6B3D3591"/>
    <w:rsid w:val="6B572182"/>
    <w:rsid w:val="6B5FBFE1"/>
    <w:rsid w:val="6BBD775B"/>
    <w:rsid w:val="6BD560BC"/>
    <w:rsid w:val="6BDC35D8"/>
    <w:rsid w:val="6BDD74A5"/>
    <w:rsid w:val="6BFE8219"/>
    <w:rsid w:val="6CDBAF44"/>
    <w:rsid w:val="6D4E2D68"/>
    <w:rsid w:val="6D6A0F4B"/>
    <w:rsid w:val="6D753A6E"/>
    <w:rsid w:val="6DD3509F"/>
    <w:rsid w:val="6DE949CA"/>
    <w:rsid w:val="6EB7D193"/>
    <w:rsid w:val="6ED3189B"/>
    <w:rsid w:val="6F0C6F46"/>
    <w:rsid w:val="6F4E0906"/>
    <w:rsid w:val="6F67DEB5"/>
    <w:rsid w:val="6F7F617D"/>
    <w:rsid w:val="6F9BF3CB"/>
    <w:rsid w:val="6FA312D6"/>
    <w:rsid w:val="6FC7ECED"/>
    <w:rsid w:val="6FD7BD62"/>
    <w:rsid w:val="71C532FB"/>
    <w:rsid w:val="7300608C"/>
    <w:rsid w:val="735B2076"/>
    <w:rsid w:val="738742D3"/>
    <w:rsid w:val="73D47319"/>
    <w:rsid w:val="73F7164F"/>
    <w:rsid w:val="74B22229"/>
    <w:rsid w:val="74DD717F"/>
    <w:rsid w:val="752043CD"/>
    <w:rsid w:val="754F9BA4"/>
    <w:rsid w:val="75F77E07"/>
    <w:rsid w:val="75FB0A40"/>
    <w:rsid w:val="765C56C3"/>
    <w:rsid w:val="777C9055"/>
    <w:rsid w:val="777E86F0"/>
    <w:rsid w:val="779F42ED"/>
    <w:rsid w:val="77EB7B44"/>
    <w:rsid w:val="77F98592"/>
    <w:rsid w:val="77FF9C1A"/>
    <w:rsid w:val="782B210E"/>
    <w:rsid w:val="7857D964"/>
    <w:rsid w:val="78882919"/>
    <w:rsid w:val="7A8E3CEB"/>
    <w:rsid w:val="7AAF918D"/>
    <w:rsid w:val="7ABF8590"/>
    <w:rsid w:val="7AF3A6F0"/>
    <w:rsid w:val="7AFB642F"/>
    <w:rsid w:val="7B2F5EB3"/>
    <w:rsid w:val="7B381A2A"/>
    <w:rsid w:val="7B7F06AD"/>
    <w:rsid w:val="7B840239"/>
    <w:rsid w:val="7B9FEA03"/>
    <w:rsid w:val="7BAD0535"/>
    <w:rsid w:val="7BBC6CC2"/>
    <w:rsid w:val="7BC174C3"/>
    <w:rsid w:val="7BE46CFC"/>
    <w:rsid w:val="7BF7B391"/>
    <w:rsid w:val="7BF7CA6F"/>
    <w:rsid w:val="7BFB165A"/>
    <w:rsid w:val="7BFBB8F0"/>
    <w:rsid w:val="7BFD613B"/>
    <w:rsid w:val="7C8B1AB5"/>
    <w:rsid w:val="7D357A2E"/>
    <w:rsid w:val="7D5F9F50"/>
    <w:rsid w:val="7DC7A6D4"/>
    <w:rsid w:val="7DEDC227"/>
    <w:rsid w:val="7DF9ADBB"/>
    <w:rsid w:val="7E39BF4D"/>
    <w:rsid w:val="7EBF3F96"/>
    <w:rsid w:val="7EEA7231"/>
    <w:rsid w:val="7EEFDD3A"/>
    <w:rsid w:val="7EFBD11B"/>
    <w:rsid w:val="7EFD7E38"/>
    <w:rsid w:val="7F1B57FF"/>
    <w:rsid w:val="7F376230"/>
    <w:rsid w:val="7F5D5DBD"/>
    <w:rsid w:val="7F77A2D7"/>
    <w:rsid w:val="7F7ABB73"/>
    <w:rsid w:val="7F8DDD2F"/>
    <w:rsid w:val="7F9E4B80"/>
    <w:rsid w:val="7FAFBE64"/>
    <w:rsid w:val="7FBC3312"/>
    <w:rsid w:val="7FBD1B9B"/>
    <w:rsid w:val="7FD6C575"/>
    <w:rsid w:val="7FD77964"/>
    <w:rsid w:val="7FDC5D31"/>
    <w:rsid w:val="7FDF6A2D"/>
    <w:rsid w:val="7FDFD79D"/>
    <w:rsid w:val="7FEE55D0"/>
    <w:rsid w:val="7FF9EA0F"/>
    <w:rsid w:val="7FFB50EC"/>
    <w:rsid w:val="7FFBF53C"/>
    <w:rsid w:val="7FFED680"/>
    <w:rsid w:val="7FFF1AEF"/>
    <w:rsid w:val="7FFF468A"/>
    <w:rsid w:val="7FFFDF2D"/>
    <w:rsid w:val="84BF4A1D"/>
    <w:rsid w:val="8A8F526A"/>
    <w:rsid w:val="8CAC4018"/>
    <w:rsid w:val="95EB3869"/>
    <w:rsid w:val="9776273F"/>
    <w:rsid w:val="979E3101"/>
    <w:rsid w:val="9BB54E17"/>
    <w:rsid w:val="9E7F7E6B"/>
    <w:rsid w:val="A7FD2EF6"/>
    <w:rsid w:val="AABD1EE8"/>
    <w:rsid w:val="ABFFA2B2"/>
    <w:rsid w:val="ACDF3E26"/>
    <w:rsid w:val="AFBFED91"/>
    <w:rsid w:val="AFEBDDFD"/>
    <w:rsid w:val="B1B77070"/>
    <w:rsid w:val="B3E52686"/>
    <w:rsid w:val="B7D779F5"/>
    <w:rsid w:val="B7FB0751"/>
    <w:rsid w:val="BB4F27EF"/>
    <w:rsid w:val="BBF8CB9B"/>
    <w:rsid w:val="BCEBA641"/>
    <w:rsid w:val="BD9FC699"/>
    <w:rsid w:val="BDECE4AF"/>
    <w:rsid w:val="BEFBA03A"/>
    <w:rsid w:val="BF6911AC"/>
    <w:rsid w:val="BFB10C69"/>
    <w:rsid w:val="BFC936F0"/>
    <w:rsid w:val="BFF6D94E"/>
    <w:rsid w:val="BFF6E079"/>
    <w:rsid w:val="CEFF26D7"/>
    <w:rsid w:val="CEFFA4F7"/>
    <w:rsid w:val="CF7D9084"/>
    <w:rsid w:val="D6BF096D"/>
    <w:rsid w:val="D6F7EF4D"/>
    <w:rsid w:val="DAEF9B4C"/>
    <w:rsid w:val="DBC58F6F"/>
    <w:rsid w:val="DC3EFB68"/>
    <w:rsid w:val="DE6FD7F3"/>
    <w:rsid w:val="DF5CAA66"/>
    <w:rsid w:val="DFAFF677"/>
    <w:rsid w:val="DFB13466"/>
    <w:rsid w:val="DFD58D23"/>
    <w:rsid w:val="DFDB68E0"/>
    <w:rsid w:val="DFEFE4D8"/>
    <w:rsid w:val="DFF7DA8E"/>
    <w:rsid w:val="E0FFC1B3"/>
    <w:rsid w:val="E5FB78FE"/>
    <w:rsid w:val="E9CBA6F8"/>
    <w:rsid w:val="EAD7139A"/>
    <w:rsid w:val="EB4F6F78"/>
    <w:rsid w:val="EB5FA4C6"/>
    <w:rsid w:val="EE3F456B"/>
    <w:rsid w:val="EEBE091D"/>
    <w:rsid w:val="EFBA88CB"/>
    <w:rsid w:val="EFEEC398"/>
    <w:rsid w:val="EFF78EE6"/>
    <w:rsid w:val="F11FC86C"/>
    <w:rsid w:val="F1BD61A3"/>
    <w:rsid w:val="F1DDFF22"/>
    <w:rsid w:val="F3FB2A10"/>
    <w:rsid w:val="F4B734C2"/>
    <w:rsid w:val="F5028420"/>
    <w:rsid w:val="F517EC84"/>
    <w:rsid w:val="F5297A7F"/>
    <w:rsid w:val="F54BC353"/>
    <w:rsid w:val="F56B6C9C"/>
    <w:rsid w:val="F5FF7F45"/>
    <w:rsid w:val="F65A112D"/>
    <w:rsid w:val="F7DE9757"/>
    <w:rsid w:val="F7EAD946"/>
    <w:rsid w:val="F7F7ED0D"/>
    <w:rsid w:val="F7FB2D1B"/>
    <w:rsid w:val="F7FF74BB"/>
    <w:rsid w:val="F7FFA8A1"/>
    <w:rsid w:val="F95264C8"/>
    <w:rsid w:val="F974FC71"/>
    <w:rsid w:val="F9DE62D6"/>
    <w:rsid w:val="F9FF72EE"/>
    <w:rsid w:val="F9FF9F00"/>
    <w:rsid w:val="FA5DB664"/>
    <w:rsid w:val="FB6F6A03"/>
    <w:rsid w:val="FB7F716A"/>
    <w:rsid w:val="FB7FA9EE"/>
    <w:rsid w:val="FBED77C1"/>
    <w:rsid w:val="FBEDA2A1"/>
    <w:rsid w:val="FBF68F98"/>
    <w:rsid w:val="FBFECF94"/>
    <w:rsid w:val="FBFF780A"/>
    <w:rsid w:val="FCB37C60"/>
    <w:rsid w:val="FCBF84AD"/>
    <w:rsid w:val="FCCFE7AD"/>
    <w:rsid w:val="FCEFF285"/>
    <w:rsid w:val="FDFE8A0C"/>
    <w:rsid w:val="FE3750CA"/>
    <w:rsid w:val="FE7B0E2D"/>
    <w:rsid w:val="FEFBC4F4"/>
    <w:rsid w:val="FEFF27B8"/>
    <w:rsid w:val="FF552C5B"/>
    <w:rsid w:val="FF76813F"/>
    <w:rsid w:val="FFB897AE"/>
    <w:rsid w:val="FFBF7BEF"/>
    <w:rsid w:val="FFBFD608"/>
    <w:rsid w:val="FFCBA710"/>
    <w:rsid w:val="FFD3F3B3"/>
    <w:rsid w:val="FFDE56A1"/>
    <w:rsid w:val="FFDF0AB7"/>
    <w:rsid w:val="FFEB03E2"/>
    <w:rsid w:val="FFEEC763"/>
    <w:rsid w:val="FFFDE3A0"/>
    <w:rsid w:val="FFFF061E"/>
    <w:rsid w:val="FFFF9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link w:val="46"/>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7">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next w:val="1"/>
    <w:qFormat/>
    <w:uiPriority w:val="99"/>
    <w:pPr>
      <w:spacing w:before="240" w:after="60"/>
      <w:jc w:val="center"/>
      <w:outlineLvl w:val="0"/>
    </w:pPr>
    <w:rPr>
      <w:rFonts w:ascii="Arial" w:hAnsi="Arial" w:cs="Arial"/>
      <w:b/>
      <w:bCs/>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table of authorities"/>
    <w:basedOn w:val="1"/>
    <w:next w:val="1"/>
    <w:qFormat/>
    <w:uiPriority w:val="0"/>
    <w:pPr>
      <w:ind w:left="420" w:leftChars="200"/>
    </w:pPr>
  </w:style>
  <w:style w:type="paragraph" w:styleId="9">
    <w:name w:val="Normal Indent"/>
    <w:basedOn w:val="1"/>
    <w:unhideWhenUsed/>
    <w:qFormat/>
    <w:uiPriority w:val="99"/>
    <w:pPr>
      <w:ind w:firstLine="420" w:firstLineChars="200"/>
    </w:pPr>
  </w:style>
  <w:style w:type="paragraph" w:styleId="10">
    <w:name w:val="Body Text"/>
    <w:basedOn w:val="1"/>
    <w:next w:val="1"/>
    <w:qFormat/>
    <w:uiPriority w:val="1"/>
    <w:pPr>
      <w:ind w:left="140"/>
    </w:pPr>
    <w:rPr>
      <w:sz w:val="32"/>
      <w:szCs w:val="32"/>
    </w:rPr>
  </w:style>
  <w:style w:type="paragraph" w:styleId="11">
    <w:name w:val="Body Text Indent"/>
    <w:basedOn w:val="1"/>
    <w:next w:val="10"/>
    <w:qFormat/>
    <w:uiPriority w:val="0"/>
    <w:pPr>
      <w:ind w:firstLine="680"/>
    </w:pPr>
    <w:rPr>
      <w:rFonts w:ascii="仿宋_GB2312" w:hAnsi="创艺简标宋" w:eastAsia="仿宋_GB2312"/>
      <w:sz w:val="32"/>
    </w:rPr>
  </w:style>
  <w:style w:type="paragraph" w:styleId="12">
    <w:name w:val="Date"/>
    <w:basedOn w:val="1"/>
    <w:next w:val="1"/>
    <w:link w:val="34"/>
    <w:unhideWhenUsed/>
    <w:qFormat/>
    <w:uiPriority w:val="0"/>
    <w:pPr>
      <w:ind w:left="100" w:leftChars="2500"/>
    </w:pPr>
  </w:style>
  <w:style w:type="paragraph" w:styleId="13">
    <w:name w:val="Balloon Text"/>
    <w:basedOn w:val="1"/>
    <w:link w:val="33"/>
    <w:semiHidden/>
    <w:unhideWhenUsed/>
    <w:qFormat/>
    <w:uiPriority w:val="99"/>
    <w:rPr>
      <w:sz w:val="18"/>
      <w:szCs w:val="18"/>
    </w:rPr>
  </w:style>
  <w:style w:type="paragraph" w:styleId="14">
    <w:name w:val="footer"/>
    <w:basedOn w:val="1"/>
    <w:next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unhideWhenUsed/>
    <w:qFormat/>
    <w:uiPriority w:val="99"/>
    <w:pPr>
      <w:snapToGrid w:val="0"/>
      <w:jc w:val="left"/>
    </w:pPr>
    <w:rPr>
      <w:sz w:val="18"/>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Body Text First Indent"/>
    <w:basedOn w:val="10"/>
    <w:semiHidden/>
    <w:unhideWhenUsed/>
    <w:qFormat/>
    <w:uiPriority w:val="99"/>
    <w:pPr>
      <w:ind w:firstLine="420" w:firstLineChars="100"/>
    </w:pPr>
  </w:style>
  <w:style w:type="paragraph" w:styleId="19">
    <w:name w:val="Body Text First Indent 2"/>
    <w:basedOn w:val="11"/>
    <w:next w:val="10"/>
    <w:semiHidden/>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5"/>
    <w:qFormat/>
    <w:uiPriority w:val="0"/>
    <w:rPr>
      <w:color w:val="0000FF"/>
      <w:u w:val="single"/>
    </w:rPr>
  </w:style>
  <w:style w:type="character" w:customStyle="1" w:styleId="25">
    <w:name w:val="NormalCharacter"/>
    <w:link w:val="1"/>
    <w:qFormat/>
    <w:uiPriority w:val="0"/>
    <w:rPr>
      <w:rFonts w:ascii="Times New Roman" w:hAnsi="Times New Roman" w:eastAsia="仿宋_GB2312" w:cs="Times New Roman"/>
      <w:kern w:val="2"/>
      <w:sz w:val="32"/>
      <w:szCs w:val="22"/>
      <w:lang w:val="en-US" w:eastAsia="zh-CN" w:bidi="ar-SA"/>
    </w:r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character" w:customStyle="1" w:styleId="29">
    <w:name w:val="页眉 Char"/>
    <w:basedOn w:val="22"/>
    <w:link w:val="15"/>
    <w:qFormat/>
    <w:uiPriority w:val="99"/>
    <w:rPr>
      <w:sz w:val="18"/>
      <w:szCs w:val="18"/>
    </w:rPr>
  </w:style>
  <w:style w:type="character" w:customStyle="1" w:styleId="30">
    <w:name w:val="页脚 Char"/>
    <w:basedOn w:val="22"/>
    <w:link w:val="14"/>
    <w:qFormat/>
    <w:uiPriority w:val="99"/>
    <w:rPr>
      <w:sz w:val="18"/>
      <w:szCs w:val="18"/>
    </w:rPr>
  </w:style>
  <w:style w:type="paragraph" w:customStyle="1" w:styleId="31">
    <w:name w:val="列出段落1"/>
    <w:basedOn w:val="1"/>
    <w:qFormat/>
    <w:uiPriority w:val="0"/>
    <w:pPr>
      <w:ind w:firstLine="420" w:firstLineChars="200"/>
    </w:pPr>
    <w:rPr>
      <w:szCs w:val="24"/>
    </w:rPr>
  </w:style>
  <w:style w:type="paragraph" w:styleId="32">
    <w:name w:val="List Paragraph"/>
    <w:basedOn w:val="1"/>
    <w:qFormat/>
    <w:uiPriority w:val="99"/>
    <w:pPr>
      <w:ind w:firstLine="420" w:firstLineChars="200"/>
    </w:pPr>
  </w:style>
  <w:style w:type="character" w:customStyle="1" w:styleId="33">
    <w:name w:val="批注框文本 Char"/>
    <w:basedOn w:val="22"/>
    <w:link w:val="13"/>
    <w:semiHidden/>
    <w:qFormat/>
    <w:uiPriority w:val="99"/>
    <w:rPr>
      <w:rFonts w:ascii="Calibri" w:hAnsi="Calibri" w:eastAsia="宋体" w:cs="Times New Roman"/>
      <w:sz w:val="18"/>
      <w:szCs w:val="18"/>
    </w:rPr>
  </w:style>
  <w:style w:type="character" w:customStyle="1" w:styleId="34">
    <w:name w:val="日期 Char"/>
    <w:basedOn w:val="22"/>
    <w:link w:val="12"/>
    <w:semiHidden/>
    <w:qFormat/>
    <w:uiPriority w:val="0"/>
    <w:rPr>
      <w:rFonts w:ascii="Calibri" w:hAnsi="Calibri" w:eastAsia="宋体" w:cs="Times New Roman"/>
    </w:rPr>
  </w:style>
  <w:style w:type="paragraph" w:customStyle="1" w:styleId="35">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6">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7">
    <w:name w:val="PageNumber"/>
    <w:qFormat/>
    <w:uiPriority w:val="0"/>
  </w:style>
  <w:style w:type="character" w:customStyle="1" w:styleId="38">
    <w:name w:val="UserStyle_1"/>
    <w:link w:val="39"/>
    <w:semiHidden/>
    <w:qFormat/>
    <w:uiPriority w:val="0"/>
    <w:rPr>
      <w:rFonts w:ascii="Times New Roman" w:hAnsi="Times New Roman"/>
      <w:sz w:val="18"/>
      <w:szCs w:val="18"/>
    </w:rPr>
  </w:style>
  <w:style w:type="paragraph" w:customStyle="1" w:styleId="39">
    <w:name w:val="Acetate"/>
    <w:basedOn w:val="1"/>
    <w:link w:val="38"/>
    <w:semiHidden/>
    <w:qFormat/>
    <w:uiPriority w:val="0"/>
    <w:pPr>
      <w:widowControl/>
      <w:textAlignment w:val="baseline"/>
    </w:pPr>
    <w:rPr>
      <w:rFonts w:eastAsiaTheme="minorEastAsia" w:cstheme="minorBidi"/>
      <w:sz w:val="18"/>
      <w:szCs w:val="18"/>
    </w:rPr>
  </w:style>
  <w:style w:type="table" w:customStyle="1" w:styleId="40">
    <w:name w:val="TableGrid"/>
    <w:basedOn w:val="36"/>
    <w:qFormat/>
    <w:uiPriority w:val="0"/>
    <w:tblPr>
      <w:tblCellMar>
        <w:top w:w="0" w:type="dxa"/>
        <w:left w:w="0" w:type="dxa"/>
        <w:bottom w:w="0" w:type="dxa"/>
        <w:right w:w="0" w:type="dxa"/>
      </w:tblCellMar>
    </w:tblPr>
  </w:style>
  <w:style w:type="character" w:customStyle="1" w:styleId="41">
    <w:name w:val="批注框文本 Char1"/>
    <w:basedOn w:val="22"/>
    <w:semiHidden/>
    <w:qFormat/>
    <w:uiPriority w:val="99"/>
    <w:rPr>
      <w:rFonts w:ascii="Calibri" w:hAnsi="Calibri" w:eastAsia="宋体" w:cs="Times New Roman"/>
      <w:sz w:val="18"/>
      <w:szCs w:val="18"/>
    </w:rPr>
  </w:style>
  <w:style w:type="paragraph" w:customStyle="1" w:styleId="42">
    <w:name w:val="Table Paragraph"/>
    <w:basedOn w:val="1"/>
    <w:qFormat/>
    <w:uiPriority w:val="1"/>
  </w:style>
  <w:style w:type="paragraph" w:styleId="43">
    <w:name w:val="No Spacing"/>
    <w:basedOn w:val="1"/>
    <w:qFormat/>
    <w:uiPriority w:val="99"/>
    <w:rPr>
      <w:rFonts w:cs="Calibri"/>
      <w:szCs w:val="21"/>
    </w:rPr>
  </w:style>
  <w:style w:type="character" w:customStyle="1" w:styleId="44">
    <w:name w:val="15"/>
    <w:basedOn w:val="22"/>
    <w:qFormat/>
    <w:uiPriority w:val="0"/>
    <w:rPr>
      <w:rFonts w:hint="default" w:ascii="Calibri" w:hAnsi="Calibri" w:cs="Calibri"/>
    </w:rPr>
  </w:style>
  <w:style w:type="paragraph" w:customStyle="1" w:styleId="45">
    <w:name w:val="UserStyle_0"/>
    <w:qFormat/>
    <w:uiPriority w:val="0"/>
    <w:pPr>
      <w:textAlignment w:val="baseline"/>
    </w:pPr>
    <w:rPr>
      <w:rFonts w:ascii="Calibri" w:hAnsi="Calibri" w:eastAsia="宋体" w:cstheme="minorBidi"/>
      <w:color w:val="000000"/>
      <w:sz w:val="24"/>
      <w:szCs w:val="24"/>
      <w:lang w:val="en-US" w:eastAsia="zh-CN" w:bidi="ar-SA"/>
    </w:rPr>
  </w:style>
  <w:style w:type="character" w:customStyle="1" w:styleId="46">
    <w:name w:val="标题 3 Char"/>
    <w:link w:val="6"/>
    <w:qFormat/>
    <w:uiPriority w:val="0"/>
    <w:rPr>
      <w:rFonts w:ascii="Times New Roman" w:hAnsi="Times New Roman" w:eastAsia="楷体_GB2312"/>
    </w:rPr>
  </w:style>
  <w:style w:type="table" w:customStyle="1" w:styleId="4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8">
    <w:name w:val="font61"/>
    <w:basedOn w:val="22"/>
    <w:qFormat/>
    <w:uiPriority w:val="0"/>
    <w:rPr>
      <w:rFonts w:hint="default" w:ascii="仿宋_GB2312" w:eastAsia="仿宋_GB2312" w:cs="仿宋_GB2312"/>
      <w:color w:val="000000"/>
      <w:sz w:val="21"/>
      <w:szCs w:val="21"/>
      <w:u w:val="none"/>
    </w:rPr>
  </w:style>
  <w:style w:type="character" w:customStyle="1" w:styleId="49">
    <w:name w:val="font91"/>
    <w:basedOn w:val="22"/>
    <w:qFormat/>
    <w:uiPriority w:val="0"/>
    <w:rPr>
      <w:rFonts w:ascii="Batang" w:hAnsi="Batang" w:eastAsia="Batang" w:cs="Batang"/>
      <w:color w:val="000000"/>
      <w:sz w:val="21"/>
      <w:szCs w:val="21"/>
      <w:u w:val="none"/>
    </w:rPr>
  </w:style>
  <w:style w:type="character" w:customStyle="1" w:styleId="50">
    <w:name w:val="font161"/>
    <w:basedOn w:val="22"/>
    <w:qFormat/>
    <w:uiPriority w:val="0"/>
    <w:rPr>
      <w:rFonts w:hint="default" w:ascii="仿宋_GB2312" w:eastAsia="仿宋_GB2312" w:cs="仿宋_GB2312"/>
      <w:color w:val="000000"/>
      <w:sz w:val="20"/>
      <w:szCs w:val="20"/>
      <w:u w:val="none"/>
    </w:rPr>
  </w:style>
  <w:style w:type="character" w:customStyle="1" w:styleId="51">
    <w:name w:val="font01"/>
    <w:basedOn w:val="22"/>
    <w:qFormat/>
    <w:uiPriority w:val="0"/>
    <w:rPr>
      <w:rFonts w:hint="eastAsia" w:ascii="Batang" w:hAnsi="Batang" w:eastAsia="Batang" w:cs="Batang"/>
      <w:color w:val="000000"/>
      <w:sz w:val="20"/>
      <w:szCs w:val="20"/>
      <w:u w:val="none"/>
    </w:rPr>
  </w:style>
  <w:style w:type="character" w:customStyle="1" w:styleId="52">
    <w:name w:val="font11"/>
    <w:basedOn w:val="22"/>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8775</Words>
  <Characters>10391</Characters>
  <Lines>31</Lines>
  <Paragraphs>8</Paragraphs>
  <TotalTime>15</TotalTime>
  <ScaleCrop>false</ScaleCrop>
  <LinksUpToDate>false</LinksUpToDate>
  <CharactersWithSpaces>10508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2020-10-16T15:38:00Z</dcterms:created>
  <dc:creator>2017年政府办公文封发</dc:creator>
  <cp:lastModifiedBy>张俊清</cp:lastModifiedBy>
  <cp:lastPrinted>2019-10-30T23:51:00Z</cp:lastPrinted>
  <dcterms:modified xsi:type="dcterms:W3CDTF">2024-08-12T08:01:19Z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B9672D2E5F974E549C60720E4DB08CFB_13</vt:lpwstr>
  </property>
</Properties>
</file>