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r>
        <w:rPr>
          <w:rStyle w:val="22"/>
          <w:rFonts w:hint="default" w:ascii="Times New Roman" w:hAnsi="Times New Roman" w:eastAsia="黑体" w:cs="Times New Roman"/>
          <w:b w:val="0"/>
          <w:bCs/>
          <w:color w:val="auto"/>
          <w:sz w:val="32"/>
          <w:szCs w:val="32"/>
          <w:lang w:val="en-US" w:eastAsia="zh-CN"/>
        </w:rPr>
        <w:t>附件1</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Times New Roman" w:hAnsi="Times New Roman" w:eastAsia="方正小标宋简体" w:cs="Times New Roman"/>
          <w:b w:val="0"/>
          <w:bCs/>
          <w:color w:val="auto"/>
          <w:spacing w:val="0"/>
          <w:sz w:val="44"/>
          <w:szCs w:val="44"/>
        </w:rPr>
      </w:pPr>
      <w:r>
        <w:rPr>
          <w:rStyle w:val="22"/>
          <w:rFonts w:hint="default" w:ascii="Times New Roman" w:hAnsi="Times New Roman" w:eastAsia="方正小标宋简体" w:cs="Times New Roman"/>
          <w:b w:val="0"/>
          <w:bCs/>
          <w:color w:val="auto"/>
          <w:spacing w:val="0"/>
          <w:sz w:val="44"/>
          <w:szCs w:val="44"/>
          <w:lang w:val="en-US" w:eastAsia="zh-CN"/>
        </w:rPr>
        <w:t>习水县城市公园（二期）项目</w:t>
      </w:r>
      <w:r>
        <w:rPr>
          <w:rStyle w:val="22"/>
          <w:rFonts w:hint="default" w:ascii="Times New Roman" w:hAnsi="Times New Roman" w:eastAsia="方正小标宋简体" w:cs="Times New Roman"/>
          <w:b w:val="0"/>
          <w:bCs/>
          <w:color w:val="auto"/>
          <w:spacing w:val="0"/>
          <w:sz w:val="44"/>
          <w:szCs w:val="44"/>
        </w:rPr>
        <w:t>待征收住房及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Times New Roman" w:hAnsi="Times New Roman" w:eastAsia="方正小标宋简体" w:cs="Times New Roman"/>
          <w:b w:val="0"/>
          <w:bCs/>
          <w:color w:val="auto"/>
          <w:spacing w:val="0"/>
          <w:sz w:val="44"/>
          <w:szCs w:val="44"/>
        </w:rPr>
      </w:pPr>
      <w:r>
        <w:rPr>
          <w:rStyle w:val="22"/>
          <w:rFonts w:hint="default" w:ascii="Times New Roman" w:hAnsi="Times New Roman" w:eastAsia="方正小标宋简体" w:cs="Times New Roman"/>
          <w:b w:val="0"/>
          <w:bCs/>
          <w:color w:val="auto"/>
          <w:spacing w:val="0"/>
          <w:sz w:val="44"/>
          <w:szCs w:val="44"/>
        </w:rPr>
        <w:t>拟置换住房市场价评估结果表</w:t>
      </w:r>
    </w:p>
    <w:p>
      <w:pPr>
        <w:bidi w:val="0"/>
        <w:rPr>
          <w:rStyle w:val="22"/>
          <w:rFonts w:hint="default" w:ascii="Times New Roman" w:hAnsi="Times New Roman" w:eastAsia="方正小标宋简体" w:cs="Times New Roman"/>
          <w:b w:val="0"/>
          <w:bCs/>
          <w:color w:val="auto"/>
          <w:spacing w:val="0"/>
          <w:sz w:val="44"/>
          <w:szCs w:val="44"/>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944" w:firstLineChars="400"/>
        <w:jc w:val="center"/>
        <w:rPr>
          <w:rStyle w:val="22"/>
          <w:rFonts w:hint="default" w:ascii="Times New Roman" w:hAnsi="Times New Roman" w:eastAsia="仿宋_GB2312" w:cs="Times New Roman"/>
          <w:b w:val="0"/>
          <w:bCs/>
          <w:color w:val="auto"/>
          <w:sz w:val="24"/>
          <w:szCs w:val="24"/>
          <w:lang w:val="en-US" w:eastAsia="zh-CN"/>
        </w:rPr>
      </w:pPr>
      <w:r>
        <w:rPr>
          <w:rStyle w:val="22"/>
          <w:rFonts w:hint="default" w:ascii="Times New Roman" w:hAnsi="Times New Roman" w:eastAsia="仿宋_GB2312" w:cs="Times New Roman"/>
          <w:b w:val="0"/>
          <w:bCs/>
          <w:color w:val="auto"/>
          <w:sz w:val="24"/>
          <w:szCs w:val="24"/>
          <w:lang w:val="en-US" w:eastAsia="zh-CN"/>
        </w:rPr>
        <w:t xml:space="preserve">                                                   </w:t>
      </w:r>
      <w:r>
        <w:rPr>
          <w:rStyle w:val="22"/>
          <w:rFonts w:hint="default" w:ascii="Times New Roman" w:hAnsi="Times New Roman" w:eastAsia="仿宋_GB2312" w:cs="Times New Roman"/>
          <w:b w:val="0"/>
          <w:bCs/>
          <w:color w:val="auto"/>
          <w:sz w:val="24"/>
          <w:szCs w:val="24"/>
        </w:rPr>
        <w:t>单位：元/m</w:t>
      </w:r>
      <w:r>
        <w:rPr>
          <w:rStyle w:val="22"/>
          <w:rFonts w:hint="default" w:ascii="Times New Roman" w:hAnsi="Times New Roman" w:eastAsia="仿宋_GB2312" w:cs="Times New Roman"/>
          <w:b w:val="0"/>
          <w:bCs/>
          <w:color w:val="auto"/>
          <w:sz w:val="24"/>
          <w:szCs w:val="24"/>
          <w:vertAlign w:val="superscript"/>
        </w:rPr>
        <w:t>2</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265"/>
        <w:gridCol w:w="226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bCs w:val="0"/>
                <w:color w:val="auto"/>
                <w:sz w:val="24"/>
                <w:szCs w:val="24"/>
              </w:rPr>
              <w:t>序号</w:t>
            </w:r>
          </w:p>
        </w:tc>
        <w:tc>
          <w:tcPr>
            <w:tcW w:w="226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bCs w:val="0"/>
                <w:color w:val="auto"/>
                <w:sz w:val="24"/>
                <w:szCs w:val="24"/>
              </w:rPr>
              <w:t>结构</w:t>
            </w:r>
          </w:p>
        </w:tc>
        <w:tc>
          <w:tcPr>
            <w:tcW w:w="226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bCs w:val="0"/>
                <w:color w:val="auto"/>
                <w:sz w:val="24"/>
                <w:szCs w:val="24"/>
              </w:rPr>
              <w:t>待征收住房</w:t>
            </w:r>
          </w:p>
        </w:tc>
        <w:tc>
          <w:tcPr>
            <w:tcW w:w="213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bCs w:val="0"/>
                <w:color w:val="auto"/>
                <w:sz w:val="24"/>
                <w:szCs w:val="24"/>
              </w:rPr>
              <w:t>拟置换住房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1</w:t>
            </w:r>
          </w:p>
        </w:tc>
        <w:tc>
          <w:tcPr>
            <w:tcW w:w="226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框架</w:t>
            </w:r>
          </w:p>
        </w:tc>
        <w:tc>
          <w:tcPr>
            <w:tcW w:w="226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3</w:t>
            </w:r>
            <w:r>
              <w:rPr>
                <w:rFonts w:hint="default" w:ascii="Times New Roman" w:hAnsi="Times New Roman" w:eastAsia="仿宋_GB2312" w:cs="Times New Roman"/>
                <w:b w:val="0"/>
                <w:bCs/>
                <w:color w:val="auto"/>
                <w:sz w:val="24"/>
                <w:szCs w:val="24"/>
                <w:lang w:val="en-US" w:eastAsia="zh-CN"/>
              </w:rPr>
              <w:t>0</w:t>
            </w:r>
            <w:r>
              <w:rPr>
                <w:rFonts w:hint="default" w:ascii="Times New Roman" w:hAnsi="Times New Roman" w:eastAsia="仿宋_GB2312" w:cs="Times New Roman"/>
                <w:b w:val="0"/>
                <w:bCs/>
                <w:color w:val="auto"/>
                <w:sz w:val="24"/>
                <w:szCs w:val="24"/>
              </w:rPr>
              <w:t>00</w:t>
            </w:r>
          </w:p>
        </w:tc>
        <w:tc>
          <w:tcPr>
            <w:tcW w:w="2135" w:type="dxa"/>
            <w:vMerge w:val="restart"/>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3</w:t>
            </w:r>
            <w:r>
              <w:rPr>
                <w:rFonts w:hint="default" w:ascii="Times New Roman" w:hAnsi="Times New Roman" w:eastAsia="仿宋_GB2312" w:cs="Times New Roman"/>
                <w:b w:val="0"/>
                <w:bCs/>
                <w:color w:val="auto"/>
                <w:sz w:val="24"/>
                <w:szCs w:val="24"/>
                <w:lang w:val="en-US" w:eastAsia="zh-CN"/>
              </w:rPr>
              <w:t>2</w:t>
            </w:r>
            <w:r>
              <w:rPr>
                <w:rFonts w:hint="default" w:ascii="Times New Roman" w:hAnsi="Times New Roman" w:eastAsia="仿宋_GB2312" w:cs="Times New Roman"/>
                <w:b w:val="0"/>
                <w:bCs/>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2</w:t>
            </w:r>
          </w:p>
        </w:tc>
        <w:tc>
          <w:tcPr>
            <w:tcW w:w="226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砖混</w:t>
            </w:r>
          </w:p>
        </w:tc>
        <w:tc>
          <w:tcPr>
            <w:tcW w:w="226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2</w:t>
            </w:r>
            <w:r>
              <w:rPr>
                <w:rFonts w:hint="default" w:ascii="Times New Roman" w:hAnsi="Times New Roman" w:eastAsia="仿宋_GB2312" w:cs="Times New Roman"/>
                <w:b w:val="0"/>
                <w:bCs/>
                <w:color w:val="auto"/>
                <w:sz w:val="24"/>
                <w:szCs w:val="24"/>
                <w:lang w:val="en-US" w:eastAsia="zh-CN"/>
              </w:rPr>
              <w:t>8</w:t>
            </w:r>
            <w:r>
              <w:rPr>
                <w:rFonts w:hint="default" w:ascii="Times New Roman" w:hAnsi="Times New Roman" w:eastAsia="仿宋_GB2312" w:cs="Times New Roman"/>
                <w:b w:val="0"/>
                <w:bCs/>
                <w:color w:val="auto"/>
                <w:sz w:val="24"/>
                <w:szCs w:val="24"/>
              </w:rPr>
              <w:t>00</w:t>
            </w:r>
          </w:p>
        </w:tc>
        <w:tc>
          <w:tcPr>
            <w:tcW w:w="2135" w:type="dxa"/>
            <w:vMerge w:val="continue"/>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3</w:t>
            </w:r>
          </w:p>
        </w:tc>
        <w:tc>
          <w:tcPr>
            <w:tcW w:w="226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砖木</w:t>
            </w:r>
          </w:p>
        </w:tc>
        <w:tc>
          <w:tcPr>
            <w:tcW w:w="226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2</w:t>
            </w:r>
            <w:r>
              <w:rPr>
                <w:rFonts w:hint="default" w:ascii="Times New Roman" w:hAnsi="Times New Roman" w:eastAsia="仿宋_GB2312" w:cs="Times New Roman"/>
                <w:b w:val="0"/>
                <w:bCs/>
                <w:color w:val="auto"/>
                <w:sz w:val="24"/>
                <w:szCs w:val="24"/>
                <w:lang w:val="en-US" w:eastAsia="zh-CN"/>
              </w:rPr>
              <w:t>20</w:t>
            </w:r>
            <w:r>
              <w:rPr>
                <w:rFonts w:hint="default" w:ascii="Times New Roman" w:hAnsi="Times New Roman" w:eastAsia="仿宋_GB2312" w:cs="Times New Roman"/>
                <w:b w:val="0"/>
                <w:bCs/>
                <w:color w:val="auto"/>
                <w:sz w:val="24"/>
                <w:szCs w:val="24"/>
              </w:rPr>
              <w:t>0</w:t>
            </w:r>
          </w:p>
        </w:tc>
        <w:tc>
          <w:tcPr>
            <w:tcW w:w="2135" w:type="dxa"/>
            <w:vMerge w:val="continue"/>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4</w:t>
            </w:r>
          </w:p>
        </w:tc>
        <w:tc>
          <w:tcPr>
            <w:tcW w:w="226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木瓦（土木、石砌）</w:t>
            </w:r>
          </w:p>
        </w:tc>
        <w:tc>
          <w:tcPr>
            <w:tcW w:w="226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lang w:val="en-US" w:eastAsia="zh-CN"/>
              </w:rPr>
              <w:t>160</w:t>
            </w:r>
            <w:r>
              <w:rPr>
                <w:rFonts w:hint="default" w:ascii="Times New Roman" w:hAnsi="Times New Roman" w:eastAsia="仿宋_GB2312" w:cs="Times New Roman"/>
                <w:b w:val="0"/>
                <w:bCs/>
                <w:color w:val="auto"/>
                <w:sz w:val="24"/>
                <w:szCs w:val="24"/>
              </w:rPr>
              <w:t>0</w:t>
            </w:r>
          </w:p>
        </w:tc>
        <w:tc>
          <w:tcPr>
            <w:tcW w:w="2135" w:type="dxa"/>
            <w:vMerge w:val="continue"/>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r>
        <w:rPr>
          <w:rStyle w:val="22"/>
          <w:rFonts w:hint="default" w:ascii="Times New Roman" w:hAnsi="Times New Roman" w:eastAsia="黑体" w:cs="Times New Roman"/>
          <w:b w:val="0"/>
          <w:bCs/>
          <w:color w:val="auto"/>
          <w:sz w:val="32"/>
          <w:szCs w:val="32"/>
          <w:lang w:val="en-US" w:eastAsia="zh-CN"/>
        </w:rPr>
        <w:t>附件2</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rPr>
          <w:rStyle w:val="22"/>
          <w:rFonts w:hint="default" w:ascii="Times New Roman" w:hAnsi="Times New Roman" w:eastAsia="黑体" w:cs="Times New Roman"/>
          <w:b w:val="0"/>
          <w:bCs/>
          <w:color w:val="auto"/>
          <w:sz w:val="32"/>
          <w:szCs w:val="32"/>
          <w:lang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习水县城市公园（二期）项目待征收营业性</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用房（临街）及拟置换营业房市场价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评估结果表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b w:val="0"/>
          <w:bCs/>
          <w:color w:val="auto"/>
          <w:sz w:val="24"/>
          <w:szCs w:val="24"/>
        </w:rPr>
      </w:pPr>
      <w:r>
        <w:rPr>
          <w:rStyle w:val="22"/>
          <w:rFonts w:hint="default" w:ascii="Times New Roman" w:hAnsi="Times New Roman" w:eastAsia="仿宋_GB2312" w:cs="Times New Roman"/>
          <w:b w:val="0"/>
          <w:bCs/>
          <w:color w:val="auto"/>
          <w:sz w:val="24"/>
          <w:szCs w:val="24"/>
          <w:lang w:val="en-US" w:eastAsia="zh-CN"/>
        </w:rPr>
        <w:t xml:space="preserve">                                                  </w:t>
      </w:r>
      <w:r>
        <w:rPr>
          <w:rStyle w:val="22"/>
          <w:rFonts w:hint="default" w:ascii="Times New Roman" w:hAnsi="Times New Roman" w:eastAsia="仿宋_GB2312" w:cs="Times New Roman"/>
          <w:b w:val="0"/>
          <w:bCs/>
          <w:color w:val="auto"/>
          <w:sz w:val="24"/>
          <w:szCs w:val="24"/>
        </w:rPr>
        <w:t>单位：元/m</w:t>
      </w:r>
      <w:r>
        <w:rPr>
          <w:rStyle w:val="22"/>
          <w:rFonts w:hint="default" w:ascii="Times New Roman" w:hAnsi="Times New Roman" w:eastAsia="仿宋_GB2312" w:cs="Times New Roman"/>
          <w:b w:val="0"/>
          <w:bCs/>
          <w:color w:val="auto"/>
          <w:sz w:val="24"/>
          <w:szCs w:val="24"/>
          <w:vertAlign w:val="superscript"/>
        </w:rPr>
        <w:t>2</w:t>
      </w:r>
    </w:p>
    <w:tbl>
      <w:tblPr>
        <w:tblStyle w:val="20"/>
        <w:tblW w:w="882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665"/>
        <w:gridCol w:w="1781"/>
        <w:gridCol w:w="1510"/>
        <w:gridCol w:w="1299"/>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7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bCs/>
                <w:color w:val="auto"/>
                <w:sz w:val="24"/>
                <w:szCs w:val="24"/>
              </w:rPr>
              <w:t>序号</w:t>
            </w:r>
          </w:p>
        </w:tc>
        <w:tc>
          <w:tcPr>
            <w:tcW w:w="1665"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bCs/>
                <w:color w:val="auto"/>
                <w:sz w:val="24"/>
                <w:szCs w:val="24"/>
              </w:rPr>
              <w:t>路段名称</w:t>
            </w:r>
          </w:p>
        </w:tc>
        <w:tc>
          <w:tcPr>
            <w:tcW w:w="1781"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bCs/>
                <w:color w:val="auto"/>
                <w:sz w:val="24"/>
                <w:szCs w:val="24"/>
              </w:rPr>
              <w:t>路段名称</w:t>
            </w:r>
          </w:p>
        </w:tc>
        <w:tc>
          <w:tcPr>
            <w:tcW w:w="151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bCs/>
                <w:color w:val="auto"/>
                <w:sz w:val="24"/>
                <w:szCs w:val="24"/>
              </w:rPr>
              <w:t>结构</w:t>
            </w:r>
          </w:p>
        </w:tc>
        <w:tc>
          <w:tcPr>
            <w:tcW w:w="1299"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bCs/>
                <w:color w:val="auto"/>
                <w:sz w:val="24"/>
                <w:szCs w:val="24"/>
              </w:rPr>
              <w:t>评估单价</w:t>
            </w:r>
          </w:p>
        </w:tc>
        <w:tc>
          <w:tcPr>
            <w:tcW w:w="159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bCs/>
                <w:color w:val="auto"/>
                <w:sz w:val="24"/>
                <w:szCs w:val="24"/>
              </w:rPr>
              <w:t>拟安置营业用房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Merge w:val="restart"/>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1</w:t>
            </w:r>
          </w:p>
        </w:tc>
        <w:tc>
          <w:tcPr>
            <w:tcW w:w="1665" w:type="dxa"/>
            <w:vMerge w:val="restart"/>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秦岭路</w:t>
            </w:r>
          </w:p>
        </w:tc>
        <w:tc>
          <w:tcPr>
            <w:tcW w:w="1781" w:type="dxa"/>
            <w:vMerge w:val="restart"/>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秦岭路至乌江南路交叉口</w:t>
            </w:r>
          </w:p>
        </w:tc>
        <w:tc>
          <w:tcPr>
            <w:tcW w:w="151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框架</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000</w:t>
            </w:r>
          </w:p>
        </w:tc>
        <w:tc>
          <w:tcPr>
            <w:tcW w:w="1590" w:type="dxa"/>
            <w:vMerge w:val="restart"/>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66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781"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51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砖混</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75</w:t>
            </w:r>
            <w:r>
              <w:rPr>
                <w:rFonts w:hint="default" w:ascii="Times New Roman" w:hAnsi="Times New Roman" w:eastAsia="仿宋_GB2312" w:cs="Times New Roman"/>
                <w:color w:val="auto"/>
                <w:sz w:val="24"/>
                <w:szCs w:val="24"/>
              </w:rPr>
              <w:t>00</w:t>
            </w:r>
          </w:p>
        </w:tc>
        <w:tc>
          <w:tcPr>
            <w:tcW w:w="1590"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66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781"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51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砖木（瓦）</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7</w:t>
            </w:r>
            <w:r>
              <w:rPr>
                <w:rFonts w:hint="default" w:ascii="Times New Roman" w:hAnsi="Times New Roman" w:eastAsia="仿宋_GB2312" w:cs="Times New Roman"/>
                <w:color w:val="auto"/>
                <w:sz w:val="24"/>
                <w:szCs w:val="24"/>
                <w:lang w:val="en-US" w:eastAsia="zh-CN"/>
              </w:rPr>
              <w:t>0</w:t>
            </w:r>
            <w:r>
              <w:rPr>
                <w:rFonts w:hint="default" w:ascii="Times New Roman" w:hAnsi="Times New Roman" w:eastAsia="仿宋_GB2312" w:cs="Times New Roman"/>
                <w:color w:val="auto"/>
                <w:sz w:val="24"/>
                <w:szCs w:val="24"/>
              </w:rPr>
              <w:t>00</w:t>
            </w:r>
          </w:p>
        </w:tc>
        <w:tc>
          <w:tcPr>
            <w:tcW w:w="1590"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7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66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781"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51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木瓦（土木、石砌）</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65</w:t>
            </w:r>
            <w:r>
              <w:rPr>
                <w:rFonts w:hint="default" w:ascii="Times New Roman" w:hAnsi="Times New Roman" w:eastAsia="仿宋_GB2312" w:cs="Times New Roman"/>
                <w:color w:val="auto"/>
                <w:sz w:val="24"/>
                <w:szCs w:val="24"/>
              </w:rPr>
              <w:t>00</w:t>
            </w:r>
          </w:p>
        </w:tc>
        <w:tc>
          <w:tcPr>
            <w:tcW w:w="1590"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Merge w:val="restart"/>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2</w:t>
            </w:r>
          </w:p>
        </w:tc>
        <w:tc>
          <w:tcPr>
            <w:tcW w:w="1665" w:type="dxa"/>
            <w:vMerge w:val="restart"/>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sz w:val="24"/>
                <w:szCs w:val="24"/>
              </w:rPr>
              <w:t>长江东路</w:t>
            </w:r>
          </w:p>
        </w:tc>
        <w:tc>
          <w:tcPr>
            <w:tcW w:w="1781" w:type="dxa"/>
            <w:vMerge w:val="restart"/>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sz w:val="24"/>
                <w:szCs w:val="24"/>
              </w:rPr>
              <w:t>长江东路</w:t>
            </w:r>
          </w:p>
        </w:tc>
        <w:tc>
          <w:tcPr>
            <w:tcW w:w="151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框架</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7</w:t>
            </w:r>
            <w:r>
              <w:rPr>
                <w:rFonts w:hint="default" w:ascii="Times New Roman" w:hAnsi="Times New Roman" w:eastAsia="仿宋_GB2312" w:cs="Times New Roman"/>
                <w:color w:val="auto"/>
                <w:sz w:val="24"/>
                <w:szCs w:val="24"/>
              </w:rPr>
              <w:t>000</w:t>
            </w:r>
          </w:p>
        </w:tc>
        <w:tc>
          <w:tcPr>
            <w:tcW w:w="1590" w:type="dxa"/>
            <w:vMerge w:val="restart"/>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66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781"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51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砖混</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65</w:t>
            </w:r>
            <w:r>
              <w:rPr>
                <w:rFonts w:hint="default" w:ascii="Times New Roman" w:hAnsi="Times New Roman" w:eastAsia="仿宋_GB2312" w:cs="Times New Roman"/>
                <w:color w:val="auto"/>
                <w:sz w:val="24"/>
                <w:szCs w:val="24"/>
              </w:rPr>
              <w:t>00</w:t>
            </w:r>
          </w:p>
        </w:tc>
        <w:tc>
          <w:tcPr>
            <w:tcW w:w="1590"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66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781"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51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砖木（瓦）</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000</w:t>
            </w:r>
          </w:p>
        </w:tc>
        <w:tc>
          <w:tcPr>
            <w:tcW w:w="1590"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7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665"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781"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510" w:type="dxa"/>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木瓦（土木、石砌）</w:t>
            </w:r>
          </w:p>
        </w:tc>
        <w:tc>
          <w:tcPr>
            <w:tcW w:w="129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500</w:t>
            </w:r>
          </w:p>
        </w:tc>
        <w:tc>
          <w:tcPr>
            <w:tcW w:w="1590" w:type="dxa"/>
            <w:vMerge w:val="continue"/>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r>
        <w:rPr>
          <w:rStyle w:val="22"/>
          <w:rFonts w:hint="default" w:ascii="Times New Roman" w:hAnsi="Times New Roman" w:eastAsia="黑体" w:cs="Times New Roman"/>
          <w:b w:val="0"/>
          <w:bCs/>
          <w:color w:val="auto"/>
          <w:sz w:val="32"/>
          <w:szCs w:val="32"/>
          <w:lang w:val="en-US" w:eastAsia="zh-CN"/>
        </w:rPr>
        <w:t>附件3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Pr>
          <w:rStyle w:val="22"/>
          <w:rFonts w:hint="default" w:ascii="Times New Roman" w:hAnsi="Times New Roman" w:eastAsia="黑体" w:cs="Times New Roman"/>
          <w:b w:val="0"/>
          <w:bCs/>
          <w:color w:val="auto"/>
          <w:sz w:val="32"/>
          <w:szCs w:val="32"/>
          <w:lang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习水县城市公园（二期）项目拟回购房</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重置成本价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Style w:val="22"/>
          <w:rFonts w:hint="default" w:ascii="Times New Roman" w:hAnsi="Times New Roman" w:eastAsia="仿宋_GB2312" w:cs="Times New Roman"/>
          <w:b w:val="0"/>
          <w:bCs/>
          <w:color w:val="auto"/>
          <w:sz w:val="24"/>
          <w:szCs w:val="24"/>
          <w:lang w:val="en-US" w:eastAsia="zh-CN"/>
        </w:rPr>
      </w:pPr>
      <w:r>
        <w:rPr>
          <w:rStyle w:val="22"/>
          <w:rFonts w:hint="eastAsia" w:ascii="Times New Roman" w:hAnsi="Times New Roman" w:eastAsia="仿宋_GB2312" w:cs="Times New Roman"/>
          <w:b w:val="0"/>
          <w:bCs/>
          <w:color w:val="auto"/>
          <w:sz w:val="24"/>
          <w:szCs w:val="24"/>
          <w:lang w:val="en-US" w:eastAsia="zh-CN"/>
        </w:rPr>
        <w:t xml:space="preserve">                                                             </w:t>
      </w:r>
      <w:r>
        <w:rPr>
          <w:rStyle w:val="22"/>
          <w:rFonts w:hint="default" w:ascii="Times New Roman" w:hAnsi="Times New Roman" w:eastAsia="仿宋_GB2312" w:cs="Times New Roman"/>
          <w:b w:val="0"/>
          <w:bCs/>
          <w:color w:val="auto"/>
          <w:sz w:val="24"/>
          <w:szCs w:val="24"/>
          <w:lang w:val="en-US" w:eastAsia="zh-CN"/>
        </w:rPr>
        <w:t>单位：元/</w:t>
      </w:r>
      <w:r>
        <w:rPr>
          <w:rStyle w:val="22"/>
          <w:rFonts w:hint="default" w:ascii="Times New Roman" w:hAnsi="Times New Roman" w:eastAsia="仿宋_GB2312" w:cs="Times New Roman"/>
          <w:b w:val="0"/>
          <w:bCs/>
          <w:color w:val="auto"/>
          <w:sz w:val="24"/>
          <w:szCs w:val="24"/>
        </w:rPr>
        <w:t>m</w:t>
      </w:r>
      <w:r>
        <w:rPr>
          <w:rStyle w:val="22"/>
          <w:rFonts w:hint="default" w:ascii="Times New Roman" w:hAnsi="Times New Roman" w:eastAsia="仿宋_GB2312" w:cs="Times New Roman"/>
          <w:b w:val="0"/>
          <w:bCs/>
          <w:color w:val="auto"/>
          <w:sz w:val="24"/>
          <w:szCs w:val="24"/>
          <w:vertAlign w:val="superscript"/>
        </w:rPr>
        <w:t>2</w:t>
      </w:r>
    </w:p>
    <w:tbl>
      <w:tblPr>
        <w:tblStyle w:val="19"/>
        <w:tblW w:w="881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9"/>
        <w:gridCol w:w="2250"/>
        <w:gridCol w:w="2267"/>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029" w:type="dxa"/>
            <w:tcBorders>
              <w:top w:val="single" w:color="auto" w:sz="4" w:space="0"/>
              <w:left w:val="single" w:color="auto" w:sz="4" w:space="0"/>
              <w:bottom w:val="single" w:color="auto" w:sz="4" w:space="0"/>
              <w:right w:val="single" w:color="auto" w:sz="4" w:space="0"/>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color w:val="auto"/>
                <w:sz w:val="24"/>
                <w:szCs w:val="24"/>
              </w:rPr>
            </w:pPr>
            <w:r>
              <w:rPr>
                <w:rStyle w:val="22"/>
                <w:rFonts w:hint="default" w:ascii="Times New Roman" w:hAnsi="Times New Roman" w:eastAsia="仿宋_GB2312" w:cs="Times New Roman"/>
                <w:color w:val="auto"/>
                <w:sz w:val="24"/>
                <w:szCs w:val="24"/>
              </w:rPr>
              <w:t>序号</w:t>
            </w:r>
          </w:p>
        </w:tc>
        <w:tc>
          <w:tcPr>
            <w:tcW w:w="2250" w:type="dxa"/>
            <w:tcBorders>
              <w:top w:val="single" w:color="auto" w:sz="4" w:space="0"/>
              <w:left w:val="single" w:color="auto" w:sz="4" w:space="0"/>
              <w:bottom w:val="single" w:color="auto" w:sz="4" w:space="0"/>
              <w:right w:val="single" w:color="auto" w:sz="4" w:space="0"/>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color w:val="auto"/>
                <w:sz w:val="24"/>
                <w:szCs w:val="24"/>
              </w:rPr>
            </w:pPr>
            <w:r>
              <w:rPr>
                <w:rStyle w:val="22"/>
                <w:rFonts w:hint="default" w:ascii="Times New Roman" w:hAnsi="Times New Roman" w:eastAsia="仿宋_GB2312" w:cs="Times New Roman"/>
                <w:color w:val="auto"/>
                <w:sz w:val="24"/>
                <w:szCs w:val="24"/>
              </w:rPr>
              <w:t>结构</w:t>
            </w:r>
          </w:p>
        </w:tc>
        <w:tc>
          <w:tcPr>
            <w:tcW w:w="2267" w:type="dxa"/>
            <w:tcBorders>
              <w:top w:val="single" w:color="auto" w:sz="4" w:space="0"/>
              <w:left w:val="single" w:color="auto" w:sz="4" w:space="0"/>
              <w:bottom w:val="single" w:color="auto" w:sz="4" w:space="0"/>
              <w:right w:val="single" w:color="auto" w:sz="4" w:space="0"/>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color w:val="auto"/>
                <w:sz w:val="24"/>
                <w:szCs w:val="24"/>
              </w:rPr>
            </w:pPr>
            <w:r>
              <w:rPr>
                <w:rStyle w:val="22"/>
                <w:rFonts w:hint="default" w:ascii="Times New Roman" w:hAnsi="Times New Roman" w:eastAsia="仿宋_GB2312" w:cs="Times New Roman"/>
                <w:color w:val="auto"/>
                <w:sz w:val="24"/>
                <w:szCs w:val="24"/>
              </w:rPr>
              <w:t>重置成本价</w:t>
            </w:r>
          </w:p>
        </w:tc>
        <w:tc>
          <w:tcPr>
            <w:tcW w:w="2270" w:type="dxa"/>
            <w:tcBorders>
              <w:top w:val="single" w:color="auto" w:sz="4" w:space="0"/>
              <w:left w:val="single" w:color="auto" w:sz="4" w:space="0"/>
              <w:bottom w:val="single" w:color="auto" w:sz="4" w:space="0"/>
              <w:right w:val="single" w:color="auto" w:sz="4" w:space="0"/>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color w:val="auto"/>
                <w:sz w:val="24"/>
                <w:szCs w:val="24"/>
              </w:rPr>
            </w:pPr>
            <w:r>
              <w:rPr>
                <w:rStyle w:val="22"/>
                <w:rFonts w:hint="default" w:ascii="Times New Roman" w:hAnsi="Times New Roman" w:eastAsia="仿宋_GB2312"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029" w:type="dxa"/>
            <w:tcBorders>
              <w:top w:val="single" w:color="auto" w:sz="4" w:space="0"/>
              <w:left w:val="single" w:color="auto" w:sz="4" w:space="0"/>
              <w:bottom w:val="single" w:color="auto" w:sz="4" w:space="0"/>
              <w:right w:val="single" w:color="auto" w:sz="4" w:space="0"/>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b w:val="0"/>
                <w:bCs w:val="0"/>
                <w:color w:val="auto"/>
                <w:sz w:val="24"/>
                <w:szCs w:val="24"/>
              </w:rPr>
            </w:pPr>
            <w:r>
              <w:rPr>
                <w:rFonts w:hint="default" w:ascii="Times New Roman" w:hAnsi="Times New Roman" w:eastAsia="仿宋_GB2312" w:cs="Times New Roman"/>
                <w:b w:val="0"/>
                <w:bCs w:val="0"/>
                <w:color w:val="auto"/>
                <w:sz w:val="24"/>
                <w:szCs w:val="24"/>
              </w:rPr>
              <w:t>1</w:t>
            </w:r>
          </w:p>
        </w:tc>
        <w:tc>
          <w:tcPr>
            <w:tcW w:w="2250" w:type="dxa"/>
            <w:tcBorders>
              <w:top w:val="single" w:color="auto" w:sz="4" w:space="0"/>
              <w:left w:val="single" w:color="auto" w:sz="4" w:space="0"/>
              <w:bottom w:val="single" w:color="auto" w:sz="4" w:space="0"/>
              <w:right w:val="single" w:color="auto" w:sz="4" w:space="0"/>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b w:val="0"/>
                <w:bCs w:val="0"/>
                <w:color w:val="auto"/>
                <w:sz w:val="24"/>
                <w:szCs w:val="24"/>
              </w:rPr>
            </w:pPr>
            <w:r>
              <w:rPr>
                <w:rFonts w:hint="default" w:ascii="Times New Roman" w:hAnsi="Times New Roman" w:eastAsia="仿宋_GB2312" w:cs="Times New Roman"/>
                <w:b w:val="0"/>
                <w:bCs w:val="0"/>
                <w:color w:val="auto"/>
                <w:sz w:val="24"/>
                <w:szCs w:val="24"/>
              </w:rPr>
              <w:t>框架</w:t>
            </w:r>
          </w:p>
        </w:tc>
        <w:tc>
          <w:tcPr>
            <w:tcW w:w="2267" w:type="dxa"/>
            <w:tcBorders>
              <w:top w:val="single" w:color="auto" w:sz="4" w:space="0"/>
              <w:left w:val="single" w:color="auto" w:sz="4" w:space="0"/>
              <w:bottom w:val="single" w:color="auto" w:sz="4" w:space="0"/>
              <w:right w:val="single" w:color="auto" w:sz="4" w:space="0"/>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b w:val="0"/>
                <w:bCs w:val="0"/>
                <w:color w:val="auto"/>
                <w:sz w:val="24"/>
                <w:szCs w:val="24"/>
              </w:rPr>
            </w:pPr>
            <w:r>
              <w:rPr>
                <w:rFonts w:hint="default" w:ascii="Times New Roman" w:hAnsi="Times New Roman" w:eastAsia="仿宋_GB2312" w:cs="Times New Roman"/>
                <w:b w:val="0"/>
                <w:bCs w:val="0"/>
                <w:color w:val="auto"/>
                <w:sz w:val="24"/>
                <w:szCs w:val="24"/>
              </w:rPr>
              <w:t>2200+楼面地价</w:t>
            </w:r>
          </w:p>
        </w:tc>
        <w:tc>
          <w:tcPr>
            <w:tcW w:w="2270" w:type="dxa"/>
            <w:tcBorders>
              <w:top w:val="single" w:color="auto" w:sz="4" w:space="0"/>
              <w:left w:val="single" w:color="auto" w:sz="4" w:space="0"/>
              <w:bottom w:val="single" w:color="auto" w:sz="4" w:space="0"/>
              <w:right w:val="single" w:color="auto" w:sz="4" w:space="0"/>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b w:val="0"/>
                <w:bCs w:val="0"/>
                <w:color w:val="auto"/>
                <w:sz w:val="24"/>
                <w:szCs w:val="24"/>
              </w:rPr>
            </w:pP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r>
        <w:rPr>
          <w:rStyle w:val="22"/>
          <w:rFonts w:hint="default" w:ascii="Times New Roman" w:hAnsi="Times New Roman" w:eastAsia="黑体" w:cs="Times New Roman"/>
          <w:b w:val="0"/>
          <w:bCs/>
          <w:color w:val="auto"/>
          <w:sz w:val="32"/>
          <w:szCs w:val="32"/>
          <w:lang w:val="en-US" w:eastAsia="zh-CN"/>
        </w:rPr>
        <w:t>附件4</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72"/>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72"/>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习水县城市公园（二期）项目房屋附属</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72"/>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设施补偿标准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72"/>
        <w:jc w:val="center"/>
        <w:rPr>
          <w:rStyle w:val="22"/>
          <w:rFonts w:hint="default" w:ascii="Times New Roman" w:hAnsi="Times New Roman" w:eastAsia="方正小标宋简体" w:cs="Times New Roman"/>
          <w:b w:val="0"/>
          <w:bCs/>
          <w:color w:val="auto"/>
          <w:spacing w:val="0"/>
          <w:sz w:val="44"/>
          <w:szCs w:val="44"/>
          <w:lang w:val="en-US" w:eastAsia="zh-CN"/>
        </w:rPr>
      </w:pPr>
    </w:p>
    <w:tbl>
      <w:tblPr>
        <w:tblStyle w:val="19"/>
        <w:tblW w:w="879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30"/>
        <w:gridCol w:w="1324"/>
        <w:gridCol w:w="1222"/>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类 别</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单 位</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lang w:eastAsia="zh-CN"/>
              </w:rPr>
              <w:t>补</w:t>
            </w:r>
            <w:r>
              <w:rPr>
                <w:rStyle w:val="22"/>
                <w:rFonts w:hint="default" w:ascii="Times New Roman" w:hAnsi="Times New Roman" w:eastAsia="仿宋_GB2312" w:cs="Times New Roman"/>
                <w:i w:val="0"/>
                <w:iCs w:val="0"/>
                <w:color w:val="auto"/>
                <w:sz w:val="24"/>
                <w:szCs w:val="24"/>
                <w:u w:val="none"/>
              </w:rPr>
              <w:t>偿标准</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座机电话（不含分机）</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元/部</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宽带移户费</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有线电视或村村通电视</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空 调（挂式）</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元/台</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空 调（台式）</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元/台</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太阳能热水器</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含管件及搬迁、安装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电热水器（含</w:t>
            </w:r>
            <w:r>
              <w:rPr>
                <w:rFonts w:hint="default" w:ascii="Times New Roman" w:hAnsi="Times New Roman" w:eastAsia="仿宋_GB2312" w:cs="Times New Roman"/>
                <w:i w:val="0"/>
                <w:iCs w:val="0"/>
                <w:color w:val="auto"/>
                <w:sz w:val="24"/>
                <w:szCs w:val="24"/>
                <w:u w:val="none"/>
                <w:lang w:eastAsia="zh-CN"/>
              </w:rPr>
              <w:t>燃</w:t>
            </w:r>
            <w:r>
              <w:rPr>
                <w:rFonts w:hint="default" w:ascii="Times New Roman" w:hAnsi="Times New Roman" w:eastAsia="仿宋_GB2312" w:cs="Times New Roman"/>
                <w:i w:val="0"/>
                <w:iCs w:val="0"/>
                <w:color w:val="auto"/>
                <w:sz w:val="24"/>
                <w:szCs w:val="24"/>
                <w:u w:val="none"/>
              </w:rPr>
              <w:t>气热水器）</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含管件及搬迁、安装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天然气</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2600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含管件及搬迁、安装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照明设施（明线）</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以被征收房屋建筑面积为依据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照明设施（暗线）</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以被征收房屋建筑面积为依据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动力设施</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有独立户头且安装三相动力电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独立电表</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520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具有在供电局开户的电表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灶面为大理石（花岗石）灶台</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抽油烟机</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元/台</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普通灶头（含贴砖）</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安装有热水包增加补偿费200元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小型地面卫星接收设施</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自行引水（含安装费）</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水管按市场价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市政供水设施</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600</w:t>
            </w:r>
          </w:p>
        </w:tc>
        <w:tc>
          <w:tcPr>
            <w:tcW w:w="361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含材料及安装费</w:t>
            </w: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r>
        <w:rPr>
          <w:rStyle w:val="22"/>
          <w:rFonts w:hint="default" w:ascii="Times New Roman" w:hAnsi="Times New Roman" w:eastAsia="黑体" w:cs="Times New Roman"/>
          <w:b w:val="0"/>
          <w:bCs/>
          <w:color w:val="auto"/>
          <w:sz w:val="32"/>
          <w:szCs w:val="32"/>
          <w:lang w:val="en-US" w:eastAsia="zh-CN"/>
        </w:rPr>
        <w:t>附件5</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rPr>
          <w:rStyle w:val="22"/>
          <w:rFonts w:hint="default" w:ascii="Times New Roman" w:hAnsi="Times New Roman" w:eastAsia="黑体" w:cs="Times New Roman"/>
          <w:b w:val="0"/>
          <w:bCs/>
          <w:color w:val="auto"/>
          <w:sz w:val="32"/>
          <w:szCs w:val="32"/>
          <w:lang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习水县城市公园（二期）项目房屋装饰装修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补偿标准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p>
    <w:tbl>
      <w:tblPr>
        <w:tblStyle w:val="19"/>
        <w:tblW w:w="8930" w:type="dxa"/>
        <w:jc w:val="center"/>
        <w:tblCellSpacing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1338"/>
        <w:gridCol w:w="2897"/>
        <w:gridCol w:w="1470"/>
        <w:gridCol w:w="1185"/>
        <w:gridCol w:w="20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5" w:hRule="atLeast"/>
          <w:tblHeader/>
          <w:tblCellSpacing w:w="0" w:type="dxa"/>
          <w:jc w:val="center"/>
        </w:trPr>
        <w:tc>
          <w:tcPr>
            <w:tcW w:w="1338" w:type="dxa"/>
            <w:tcBorders>
              <w:top w:val="single" w:color="000000" w:sz="2" w:space="0"/>
              <w:left w:val="single" w:color="000000" w:sz="6"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项 目</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类 别</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单位</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Style w:val="22"/>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补偿</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标准</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备 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5"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外墙装饰</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外墙面砖或水洗石外墙</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65</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按贴砖或水洗石面积计算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外墙涂料</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按涂料面积计算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5"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外墙玻璃幕墙</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按幕墙面积计算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5"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外墙水泥清光</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按清光面积计算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内墙装饰</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仿 瓷</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乳胶漆</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墙布（普通）</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墙布（刺绣）</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90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墙纸</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木墙裙（高度1m左右）</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瓷砖墙裙（高度1m左右）</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铝塑板墙裙</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70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电视墙</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天棚装饰</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木质吊顶</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石膏板吊顶</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铝塑板吊顶</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桑拿板吊顶</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塑料扣板</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合金板扣板</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集成吊顶</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石膏线条</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木线条</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地面装饰</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60cmX60cm以下地板砖</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60cmX60cm地板砖</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80cmX80cm地板砖</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大理石、花岗石</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竹、实木地板</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140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拼花木地板</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强化、复合木地板</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90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简易木地板</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40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塑胶地面</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70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水磨石地坪</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门窗</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铝合金卷帘门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防撬（防盗）门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隔热门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2200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套装门（非实木）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雕花门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三合板、椴木贴面自制门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门窗</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套装实木门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700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普通木门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普通实木大门(非套装）</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铝合金隔断门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钢条防盗门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不锈钢防盗窗</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钢条防盗窗</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木窗</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元/扇</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纱窗</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铝合金窗</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窗套</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钢棚</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室内护栏</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 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 条</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不锈钢</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铁 花</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砖砌水泥清光</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花瓶柱、贴砖、罗马柱</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铝合金立柱+木质扶手</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铝合金立柱+木质扶手+玻璃</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玻璃门</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厚度8mm及以下</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220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厚度8mm以上</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320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固定柜</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壁 柜</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320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吊柜（高700mm及以下）</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260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装饰柜</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280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卫生洁具</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台式面盆</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浴 缸</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整体浴室（成品淋浴房）</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1800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搬迁、安装费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蹲式大便器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坐式大便器</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不锈钢面盆</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室内隔断</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玻璃隔断（普通）</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玻璃隔断（雕花）</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木质隔断</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门头</w:t>
            </w: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铝塑扣板门头</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90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铁、钢架+木板门头</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不锈钢门头</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木质板门头</w:t>
            </w:r>
          </w:p>
        </w:tc>
        <w:tc>
          <w:tcPr>
            <w:tcW w:w="147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cs="Times New Roman"/>
                <w:i w:val="0"/>
                <w:iCs w:val="0"/>
                <w:color w:val="auto"/>
                <w:sz w:val="24"/>
                <w:szCs w:val="24"/>
                <w:u w:val="none"/>
              </w:rPr>
            </w:pP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both"/>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r>
        <w:rPr>
          <w:rStyle w:val="22"/>
          <w:rFonts w:hint="default" w:ascii="Times New Roman" w:hAnsi="Times New Roman" w:eastAsia="黑体" w:cs="Times New Roman"/>
          <w:b w:val="0"/>
          <w:bCs/>
          <w:color w:val="auto"/>
          <w:sz w:val="32"/>
          <w:szCs w:val="32"/>
          <w:lang w:val="en-US" w:eastAsia="zh-CN"/>
        </w:rPr>
        <w:t>附件6</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rPr>
          <w:rStyle w:val="22"/>
          <w:rFonts w:hint="default" w:ascii="Times New Roman" w:hAnsi="Times New Roman" w:eastAsia="黑体" w:cs="Times New Roman"/>
          <w:b w:val="0"/>
          <w:bCs/>
          <w:color w:val="auto"/>
          <w:sz w:val="32"/>
          <w:szCs w:val="32"/>
          <w:lang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习水县城市公园（二期）项目房屋构筑物</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补偿标准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p>
    <w:tbl>
      <w:tblPr>
        <w:tblStyle w:val="19"/>
        <w:tblW w:w="8925" w:type="dxa"/>
        <w:jc w:val="center"/>
        <w:tblCellSpacing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157"/>
        <w:gridCol w:w="2855"/>
        <w:gridCol w:w="1887"/>
        <w:gridCol w:w="202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Header/>
          <w:tblCellSpacing w:w="0" w:type="dxa"/>
          <w:jc w:val="center"/>
        </w:trPr>
        <w:tc>
          <w:tcPr>
            <w:tcW w:w="2157" w:type="dxa"/>
            <w:tcBorders>
              <w:top w:val="single" w:color="000000" w:sz="2" w:space="0"/>
              <w:left w:val="single" w:color="000000" w:sz="6"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i w:val="0"/>
                <w:iCs w:val="0"/>
                <w:color w:val="auto"/>
                <w:sz w:val="24"/>
                <w:szCs w:val="24"/>
                <w:u w:val="none"/>
              </w:rPr>
              <w:t>项 目</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i w:val="0"/>
                <w:iCs w:val="0"/>
                <w:color w:val="auto"/>
                <w:sz w:val="24"/>
                <w:szCs w:val="24"/>
                <w:u w:val="none"/>
              </w:rPr>
              <w:t>名 称</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i w:val="0"/>
                <w:iCs w:val="0"/>
                <w:color w:val="auto"/>
                <w:sz w:val="24"/>
                <w:szCs w:val="24"/>
                <w:u w:val="none"/>
              </w:rPr>
              <w:t>单 位</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i w:val="0"/>
                <w:iCs w:val="0"/>
                <w:color w:val="auto"/>
                <w:sz w:val="24"/>
                <w:szCs w:val="24"/>
                <w:u w:val="none"/>
              </w:rPr>
              <w:t>补偿标准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一、围墙</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实心砖围墙</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浆砌石围墙</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空心砖砌围墙</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片石干砌围墙</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简易土质围墙</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围墙基础</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二、堡坎</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浆砌石堡坎</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干砌石堡坎</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混凝土堡坎</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毛石混凝土堡坎</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浆砌</w:t>
            </w:r>
            <w:r>
              <w:rPr>
                <w:rFonts w:hint="default" w:ascii="Times New Roman" w:hAnsi="Times New Roman" w:eastAsia="仿宋_GB2312" w:cs="Times New Roman"/>
                <w:i w:val="0"/>
                <w:iCs w:val="0"/>
                <w:color w:val="auto"/>
                <w:sz w:val="24"/>
                <w:szCs w:val="24"/>
                <w:u w:val="none"/>
                <w:lang w:eastAsia="zh-CN"/>
              </w:rPr>
              <w:t>勾</w:t>
            </w:r>
            <w:r>
              <w:rPr>
                <w:rFonts w:hint="default" w:ascii="Times New Roman" w:hAnsi="Times New Roman" w:eastAsia="仿宋_GB2312" w:cs="Times New Roman"/>
                <w:i w:val="0"/>
                <w:iCs w:val="0"/>
                <w:color w:val="auto"/>
                <w:sz w:val="24"/>
                <w:szCs w:val="24"/>
                <w:u w:val="none"/>
              </w:rPr>
              <w:t>平缝</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浆砌</w:t>
            </w:r>
            <w:r>
              <w:rPr>
                <w:rFonts w:hint="default" w:ascii="Times New Roman" w:hAnsi="Times New Roman" w:eastAsia="仿宋_GB2312" w:cs="Times New Roman"/>
                <w:i w:val="0"/>
                <w:iCs w:val="0"/>
                <w:color w:val="auto"/>
                <w:sz w:val="24"/>
                <w:szCs w:val="24"/>
                <w:u w:val="none"/>
                <w:lang w:eastAsia="zh-CN"/>
              </w:rPr>
              <w:t>勾</w:t>
            </w:r>
            <w:r>
              <w:rPr>
                <w:rFonts w:hint="default" w:ascii="Times New Roman" w:hAnsi="Times New Roman" w:eastAsia="仿宋_GB2312" w:cs="Times New Roman"/>
                <w:i w:val="0"/>
                <w:iCs w:val="0"/>
                <w:color w:val="auto"/>
                <w:sz w:val="24"/>
                <w:szCs w:val="24"/>
                <w:u w:val="none"/>
              </w:rPr>
              <w:t>凸缝</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三、晒坝</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混凝土晒坝</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石晒坝</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简易水泥、三合土、碎石地坪</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青石地坪</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贴砖花池</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35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水泥清光花池</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坝子栏杆（贴砖、罗马柱）</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砖、石砌粉糊坝子栏杆</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35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砖、石砌未粉糊坝子栏杆</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栏水线</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四、水池水窑粪池鱼塘水井水缸</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混凝土</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380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砖石浆砌</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土 质</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土石（砖）混合</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混凝土盖</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人工水井（深度</w:t>
            </w:r>
            <w:r>
              <w:rPr>
                <w:rFonts w:hint="default" w:ascii="Times New Roman" w:hAnsi="Times New Roman" w:eastAsia="仿宋_GB2312" w:cs="Times New Roman"/>
                <w:i w:val="0"/>
                <w:iCs w:val="0"/>
                <w:color w:val="auto"/>
                <w:sz w:val="24"/>
                <w:szCs w:val="24"/>
              </w:rPr>
              <w:t>2米以上算）人工费补偿</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水泥管</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85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水池</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/口</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五、水缸</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/口</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六、沼气池</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沼气池（按容积计算）</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七、畜圈、厕所（主体外）、煤房等</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砖混架构</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砖木结构</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350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木结构</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300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土木结构</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简易结构</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凉亭</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八、棚子</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砖结构棚</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木结构棚</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金属结构棚</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活动板房（屋顶）</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九、道路硬化</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人行道</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90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机车道</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十、沟渠</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沟渠（按砌体体积算）</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十一、雨棚</w:t>
            </w: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不锈钢铝合金雨阳棚</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2157"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55"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阳光棚</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5012" w:type="dxa"/>
            <w:gridSpan w:val="2"/>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十二、棺材搬迁</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/盒</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5012" w:type="dxa"/>
            <w:gridSpan w:val="2"/>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十三、蜂桶搬迁</w:t>
            </w:r>
          </w:p>
        </w:tc>
        <w:tc>
          <w:tcPr>
            <w:tcW w:w="1887"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/桶</w:t>
            </w:r>
          </w:p>
        </w:tc>
        <w:tc>
          <w:tcPr>
            <w:tcW w:w="202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200</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5" w:lineRule="atLeast"/>
        <w:ind w:left="0" w:right="0"/>
        <w:jc w:val="both"/>
        <w:rPr>
          <w:rFonts w:hint="default" w:ascii="Times New Roman" w:hAnsi="Times New Roman" w:cs="Times New Roman"/>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r>
        <w:rPr>
          <w:rStyle w:val="22"/>
          <w:rFonts w:hint="default" w:ascii="Times New Roman" w:hAnsi="Times New Roman" w:eastAsia="黑体" w:cs="Times New Roman"/>
          <w:b w:val="0"/>
          <w:bCs/>
          <w:color w:val="auto"/>
          <w:sz w:val="32"/>
          <w:szCs w:val="32"/>
          <w:lang w:val="en-US" w:eastAsia="zh-CN"/>
        </w:rPr>
        <w:t>附件7</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习水县城市公园（二期）项目房屋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周转过渡费标准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p>
    <w:tbl>
      <w:tblPr>
        <w:tblStyle w:val="19"/>
        <w:tblW w:w="9090" w:type="dxa"/>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11"/>
        <w:gridCol w:w="1940"/>
        <w:gridCol w:w="2794"/>
        <w:gridCol w:w="2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3240" w:type="dxa"/>
            <w:gridSpan w:val="2"/>
            <w:tcBorders>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类 别</w:t>
            </w:r>
          </w:p>
        </w:tc>
        <w:tc>
          <w:tcPr>
            <w:tcW w:w="2550" w:type="dxa"/>
            <w:tcBorders>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补 偿 标 准</w:t>
            </w:r>
          </w:p>
        </w:tc>
        <w:tc>
          <w:tcPr>
            <w:tcW w:w="2505" w:type="dxa"/>
            <w:tcBorders>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blCellSpacing w:w="0" w:type="dxa"/>
          <w:jc w:val="center"/>
        </w:trPr>
        <w:tc>
          <w:tcPr>
            <w:tcW w:w="1470" w:type="dxa"/>
            <w:tcBorders>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住房</w:t>
            </w:r>
          </w:p>
        </w:tc>
        <w:tc>
          <w:tcPr>
            <w:tcW w:w="1560" w:type="dxa"/>
            <w:tcBorders>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过渡费</w:t>
            </w:r>
          </w:p>
        </w:tc>
        <w:tc>
          <w:tcPr>
            <w:tcW w:w="2550" w:type="dxa"/>
            <w:tcBorders>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按建筑面积每月7元/平方米计发。</w:t>
            </w:r>
          </w:p>
        </w:tc>
        <w:tc>
          <w:tcPr>
            <w:tcW w:w="2505" w:type="dxa"/>
            <w:vMerge w:val="restart"/>
            <w:tcBorders>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每户累计不足500元的按500元计算，超过500元的据实补偿。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blCellSpacing w:w="0" w:type="dxa"/>
          <w:jc w:val="center"/>
        </w:trPr>
        <w:tc>
          <w:tcPr>
            <w:tcW w:w="1470" w:type="dxa"/>
            <w:tcBorders>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商业房一层</w:t>
            </w:r>
          </w:p>
        </w:tc>
        <w:tc>
          <w:tcPr>
            <w:tcW w:w="1560" w:type="dxa"/>
            <w:tcBorders>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过渡费</w:t>
            </w:r>
          </w:p>
        </w:tc>
        <w:tc>
          <w:tcPr>
            <w:tcW w:w="2550" w:type="dxa"/>
            <w:tcBorders>
              <w:tl2br w:val="nil"/>
              <w:tr2bl w:val="nil"/>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rPr>
              <w:t>按建筑面积每月</w:t>
            </w:r>
            <w:r>
              <w:rPr>
                <w:rFonts w:hint="default" w:ascii="Times New Roman" w:hAnsi="Times New Roman" w:eastAsia="仿宋_GB2312" w:cs="Times New Roman"/>
                <w:i w:val="0"/>
                <w:iCs w:val="0"/>
                <w:color w:val="auto"/>
                <w:sz w:val="24"/>
                <w:szCs w:val="24"/>
                <w:u w:val="none"/>
                <w:lang w:val="en-US" w:eastAsia="zh-CN"/>
              </w:rPr>
              <w:t>2</w:t>
            </w:r>
            <w:r>
              <w:rPr>
                <w:rFonts w:hint="default" w:ascii="Times New Roman" w:hAnsi="Times New Roman" w:eastAsia="仿宋_GB2312" w:cs="Times New Roman"/>
                <w:i w:val="0"/>
                <w:iCs w:val="0"/>
                <w:color w:val="auto"/>
                <w:sz w:val="24"/>
                <w:szCs w:val="24"/>
                <w:u w:val="none"/>
              </w:rPr>
              <w:t>0元/平方米</w:t>
            </w:r>
            <w:r>
              <w:rPr>
                <w:rFonts w:hint="default" w:ascii="Times New Roman" w:hAnsi="Times New Roman" w:eastAsia="仿宋_GB2312" w:cs="Times New Roman"/>
                <w:i w:val="0"/>
                <w:iCs w:val="0"/>
                <w:color w:val="auto"/>
                <w:sz w:val="24"/>
                <w:szCs w:val="24"/>
                <w:u w:val="none"/>
                <w:lang w:eastAsia="zh-CN"/>
              </w:rPr>
              <w:t>计发。</w:t>
            </w:r>
          </w:p>
        </w:tc>
        <w:tc>
          <w:tcPr>
            <w:tcW w:w="2505" w:type="dxa"/>
            <w:vMerge w:val="continue"/>
            <w:tcBorders>
              <w:tl2br w:val="nil"/>
              <w:tr2bl w:val="nil"/>
            </w:tcBorders>
            <w:noWrap w:val="0"/>
            <w:tcMar>
              <w:left w:w="115" w:type="dxa"/>
              <w:right w:w="115"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_GB2312" w:cs="Times New Roman"/>
                <w:color w:val="auto"/>
                <w:sz w:val="24"/>
                <w:szCs w:val="24"/>
              </w:rPr>
            </w:pP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_GB2312" w:cs="Times New Roman"/>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r>
        <w:rPr>
          <w:rStyle w:val="22"/>
          <w:rFonts w:hint="default" w:ascii="Times New Roman" w:hAnsi="Times New Roman" w:eastAsia="黑体" w:cs="Times New Roman"/>
          <w:b w:val="0"/>
          <w:bCs/>
          <w:color w:val="auto"/>
          <w:sz w:val="32"/>
          <w:szCs w:val="32"/>
          <w:lang w:val="en-US" w:eastAsia="zh-CN"/>
        </w:rPr>
        <w:t>附件8</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72"/>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习水县城市公园（二期）项目坟墓搬迁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72"/>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补偿及奖励标准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72"/>
        <w:jc w:val="center"/>
        <w:rPr>
          <w:rStyle w:val="22"/>
          <w:rFonts w:hint="default" w:ascii="Times New Roman" w:hAnsi="Times New Roman" w:eastAsia="方正小标宋简体" w:cs="Times New Roman"/>
          <w:b w:val="0"/>
          <w:bCs/>
          <w:color w:val="auto"/>
          <w:spacing w:val="0"/>
          <w:sz w:val="44"/>
          <w:szCs w:val="44"/>
          <w:lang w:val="en-US" w:eastAsia="zh-CN"/>
        </w:rPr>
      </w:pPr>
    </w:p>
    <w:tbl>
      <w:tblPr>
        <w:tblStyle w:val="19"/>
        <w:tblW w:w="9135" w:type="dxa"/>
        <w:jc w:val="center"/>
        <w:tblCellSpacing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734"/>
        <w:gridCol w:w="1899"/>
        <w:gridCol w:w="806"/>
        <w:gridCol w:w="1988"/>
        <w:gridCol w:w="1540"/>
        <w:gridCol w:w="216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5" w:hRule="atLeast"/>
          <w:tblCellSpacing w:w="0" w:type="dxa"/>
          <w:jc w:val="center"/>
        </w:trPr>
        <w:tc>
          <w:tcPr>
            <w:tcW w:w="734" w:type="dxa"/>
            <w:tcBorders>
              <w:top w:val="single" w:color="000000" w:sz="2" w:space="0"/>
              <w:left w:val="single" w:color="000000" w:sz="6"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补偿类别</w:t>
            </w:r>
          </w:p>
        </w:tc>
        <w:tc>
          <w:tcPr>
            <w:tcW w:w="1899"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名称</w:t>
            </w:r>
          </w:p>
        </w:tc>
        <w:tc>
          <w:tcPr>
            <w:tcW w:w="80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单位</w:t>
            </w:r>
          </w:p>
        </w:tc>
        <w:tc>
          <w:tcPr>
            <w:tcW w:w="1988"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补偿标准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（元/座、块）</w:t>
            </w:r>
          </w:p>
        </w:tc>
        <w:tc>
          <w:tcPr>
            <w:tcW w:w="15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奖励标准（元/座）</w:t>
            </w:r>
          </w:p>
        </w:tc>
        <w:tc>
          <w:tcPr>
            <w:tcW w:w="2168"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734" w:type="dxa"/>
            <w:vMerge w:val="restart"/>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坟墓</w:t>
            </w:r>
          </w:p>
        </w:tc>
        <w:tc>
          <w:tcPr>
            <w:tcW w:w="1899"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料石坟</w:t>
            </w:r>
          </w:p>
        </w:tc>
        <w:tc>
          <w:tcPr>
            <w:tcW w:w="80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座</w:t>
            </w:r>
          </w:p>
        </w:tc>
        <w:tc>
          <w:tcPr>
            <w:tcW w:w="1988"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2000</w:t>
            </w:r>
          </w:p>
        </w:tc>
        <w:tc>
          <w:tcPr>
            <w:tcW w:w="15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3000</w:t>
            </w:r>
          </w:p>
        </w:tc>
        <w:tc>
          <w:tcPr>
            <w:tcW w:w="2168" w:type="dxa"/>
            <w:vMerge w:val="restart"/>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在协议规定时间内搬迁的享受奖励。</w:t>
            </w:r>
            <w:r>
              <w:rPr>
                <w:rFonts w:hint="default" w:ascii="Times New Roman" w:hAnsi="Times New Roman" w:eastAsia="仿宋_GB2312" w:cs="Times New Roman"/>
                <w:color w:val="auto"/>
                <w:sz w:val="24"/>
                <w:szCs w:val="24"/>
              </w:rPr>
              <w:t>合坟按</w:t>
            </w:r>
            <w:r>
              <w:rPr>
                <w:rFonts w:hint="default" w:ascii="Times New Roman" w:hAnsi="Times New Roman" w:eastAsia="仿宋_GB2312" w:cs="Times New Roman"/>
                <w:color w:val="auto"/>
                <w:sz w:val="24"/>
                <w:szCs w:val="24"/>
                <w:lang w:val="en-US" w:eastAsia="zh-CN"/>
              </w:rPr>
              <w:t>1.5</w:t>
            </w:r>
            <w:r>
              <w:rPr>
                <w:rFonts w:hint="default" w:ascii="Times New Roman" w:hAnsi="Times New Roman" w:eastAsia="仿宋_GB2312" w:cs="Times New Roman"/>
                <w:color w:val="auto"/>
                <w:sz w:val="24"/>
                <w:szCs w:val="24"/>
              </w:rPr>
              <w:t>所计算补偿。</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734"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砌石、土石坟</w:t>
            </w:r>
          </w:p>
        </w:tc>
        <w:tc>
          <w:tcPr>
            <w:tcW w:w="80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座</w:t>
            </w:r>
          </w:p>
        </w:tc>
        <w:tc>
          <w:tcPr>
            <w:tcW w:w="1988"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1200</w:t>
            </w:r>
          </w:p>
        </w:tc>
        <w:tc>
          <w:tcPr>
            <w:tcW w:w="15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3000</w:t>
            </w:r>
          </w:p>
        </w:tc>
        <w:tc>
          <w:tcPr>
            <w:tcW w:w="2168" w:type="dxa"/>
            <w:vMerge w:val="continue"/>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734"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土、乱石坟</w:t>
            </w:r>
          </w:p>
        </w:tc>
        <w:tc>
          <w:tcPr>
            <w:tcW w:w="80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座</w:t>
            </w:r>
          </w:p>
        </w:tc>
        <w:tc>
          <w:tcPr>
            <w:tcW w:w="1988"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15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1500</w:t>
            </w:r>
          </w:p>
        </w:tc>
        <w:tc>
          <w:tcPr>
            <w:tcW w:w="2168" w:type="dxa"/>
            <w:vMerge w:val="continue"/>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734"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坟碑（单碑）</w:t>
            </w:r>
          </w:p>
        </w:tc>
        <w:tc>
          <w:tcPr>
            <w:tcW w:w="80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块</w:t>
            </w:r>
          </w:p>
        </w:tc>
        <w:tc>
          <w:tcPr>
            <w:tcW w:w="1988"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800</w:t>
            </w:r>
          </w:p>
        </w:tc>
        <w:tc>
          <w:tcPr>
            <w:tcW w:w="15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vMerge w:val="continue"/>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734" w:type="dxa"/>
            <w:vMerge w:val="continue"/>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坟碑帽（连体）</w:t>
            </w:r>
          </w:p>
        </w:tc>
        <w:tc>
          <w:tcPr>
            <w:tcW w:w="80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座</w:t>
            </w:r>
          </w:p>
        </w:tc>
        <w:tc>
          <w:tcPr>
            <w:tcW w:w="1988"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1500</w:t>
            </w:r>
          </w:p>
        </w:tc>
        <w:tc>
          <w:tcPr>
            <w:tcW w:w="15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vMerge w:val="continue"/>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734" w:type="dxa"/>
            <w:tcBorders>
              <w:top w:val="single" w:color="000000" w:sz="2" w:space="0"/>
              <w:left w:val="single" w:color="000000" w:sz="4"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color w:val="auto"/>
                <w:sz w:val="24"/>
                <w:u w:val="none"/>
                <w:lang w:eastAsia="zh-CN"/>
              </w:rPr>
              <w:t>棺    木</w:t>
            </w:r>
          </w:p>
        </w:tc>
        <w:tc>
          <w:tcPr>
            <w:tcW w:w="806"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lang w:eastAsia="zh-CN"/>
              </w:rPr>
              <w:t>座</w:t>
            </w:r>
          </w:p>
        </w:tc>
        <w:tc>
          <w:tcPr>
            <w:tcW w:w="1988"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4000</w:t>
            </w:r>
          </w:p>
        </w:tc>
        <w:tc>
          <w:tcPr>
            <w:tcW w:w="1540"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tcBorders>
              <w:top w:val="single" w:color="000000" w:sz="2" w:space="0"/>
              <w:left w:val="single" w:color="000000" w:sz="2" w:space="0"/>
              <w:bottom w:val="single" w:color="000000" w:sz="2" w:space="0"/>
              <w:right w:val="single" w:color="000000" w:sz="2" w:space="0"/>
            </w:tcBorders>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说明：坟墓构筑物补偿参照房屋附属设施标准执行，坟地按实际面积参照宅基地标准进行补偿。</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r>
        <w:rPr>
          <w:rStyle w:val="22"/>
          <w:rFonts w:hint="default" w:ascii="Times New Roman" w:hAnsi="Times New Roman" w:eastAsia="黑体" w:cs="Times New Roman"/>
          <w:b w:val="0"/>
          <w:bCs/>
          <w:color w:val="auto"/>
          <w:sz w:val="32"/>
          <w:szCs w:val="32"/>
          <w:lang w:val="en-US" w:eastAsia="zh-CN"/>
        </w:rPr>
        <w:t>附件9</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Style w:val="22"/>
          <w:rFonts w:hint="default" w:ascii="Times New Roman" w:hAnsi="Times New Roman" w:eastAsia="黑体" w:cs="Times New Roman"/>
          <w:b w:val="0"/>
          <w:bCs/>
          <w:color w:val="auto"/>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习水县城市公园（二期）项目零星林木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补偿标准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p>
    <w:tbl>
      <w:tblPr>
        <w:tblStyle w:val="19"/>
        <w:tblW w:w="9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1530"/>
        <w:gridCol w:w="2160"/>
        <w:gridCol w:w="1290"/>
        <w:gridCol w:w="1215"/>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种类</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规格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计量单位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补偿标准</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李、枣、拐枣、柿子、苹果、花红、杏、石榴、核桃、板栗、樱桃、梨、桃、桑葚、佳宝果等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裸根苗定植后一个生产年，每亩超过143株按照143 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盛产期（胸径16cm 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胸径16-25cm（含 25cm）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胸径&gt;25cm元/株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一般柑、橘、橙、柚类（沙田柚、红心蜜柚除外）</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容器苗，每亩超过125株按照125株计算。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沙田柚、红心蜜柚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每亩超过100株按照100株计算。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杨梅、枇杷等（指引进或嫁接的优良品种）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裸根苗定植后一个生产年，每亩超过250株按照250 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胸径16-25cm、冠幅&gt;10m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胸径&gt;26cm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葡萄、猕猴桃</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裸根苗定植后一个生产年，每亩超过500株按照500株计算。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花椒、油 桐、油茶、无花果、 漆树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裸根苗定植后一个生产年，每亩超过200株按照200株计算。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杜仲、黄 柏、厚朴、椿树、银 杏等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胸径2cm 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人工栽植的予以补偿，天然次生、萌生、丛生的不予补偿，每亩超过 400株按照400株计算。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胸径2-4cm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胸径4-6cm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胸径6-12cm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胸径12-20cm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茶树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指单株茶树，丛生的一丛以一株算， 每亩超过2667株按照2667株计算。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成长期（6cm以下）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20-26cm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27cm以上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棕树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主干高50㎝以下（含50㎝）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主干高30 ㎝以下棕树苗不予补偿。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主干高50-100㎝（含100cm）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主干高100㎝以上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麻竹、楠 竹、金竹、撑绿竹等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胸径5-7cm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胸径7cm以上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香蕉、芭蕉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成长期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成熟期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桂圆、荔枝</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每亩超过100株按照100株计算。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高50-100cm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高100-150cm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胸径4-8cm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胸径9-10cm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胸径11-12cm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胸径12-20cm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榕树、美人树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紫柏</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金丝楠木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按单株，丛生的一丛以一株算，每亩超过168棵按照168棵计算。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 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金弹子</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按单株，丛生的一丛以一株算，每亩超过260棵按照260棵计算。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17</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铁树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直径5cm以下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直径6-10cm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直径10cm以上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18</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黄杨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冠幅&lt;40cm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冠幅41-50cm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冠幅51-80cm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冠幅81-150cm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冠幅&gt;151cm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19</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紫荆</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高30cm 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高31-99cm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高100-150cm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高151cm以上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桂花、三角梅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胸径3cm以下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每亩超过143株按照143株计算。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胸径3-5cm（不含5cm）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胸径5-7cm（不含7cm）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胸径7-9cm（不含9cm）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胸径9-11cm（不含11cm）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胸径11-13cm（不含13cm）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21</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黄金柠檬</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22</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月季</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冠幅＜30cm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冠幅30-50cm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冠幅51-80cm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冠幅81-100cm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冠幅101-150cm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冠幅151-200cm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冠幅＞201cm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23</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甘蔗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分蘖期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伸长期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成熟期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24</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琯溪蜜柚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裸根定苗后第一个生产年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霸王鞭</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成长期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26</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胸径5-7cm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胸径8cm以上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茶花</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定植2年以上（搬迁）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紫薇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定植2年以上（搬迁）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栀子花</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栽植2年以上（搬迁）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用材林及其他林木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幼树（人工造林未成林和幼林）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保留株数达100株/亩以上以1000元/亩记，达不到保留株数的以10元/株计算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胸径6㎝以下的属于幼树，不予补偿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胸径21-30cm以上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胸径在30cm以上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苗圃、花卉</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5cm以下的，以上一年度同树木同规格苗木市场平均销售价乘以株数予以补偿；5cm以上的树木参照评估价值予以补偿。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440" w:hanging="632" w:hangingChars="200"/>
        <w:textAlignment w:val="auto"/>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说明：1.苗期：裸根苗定植后一个生产年；</w:t>
      </w:r>
    </w:p>
    <w:p>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2.成片经济林木苗株数必须达到初植密度的85%以上，超过初植密度的，按照成片经济林计算，不能按株数计算；</w:t>
      </w:r>
    </w:p>
    <w:p>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3.胸径5cm以下的天然次生林木不予补偿；</w:t>
      </w:r>
    </w:p>
    <w:p>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4.对于涉及极少特殊的珍贵树木、古树、大树和名木进行合理补偿；</w:t>
      </w:r>
    </w:p>
    <w:p>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5.未列入此表的其他林地上的连片林木，按省政府令第124号的规定计算林木补偿费；</w:t>
      </w:r>
    </w:p>
    <w:p>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olor w:val="auto"/>
          <w:kern w:val="0"/>
          <w:sz w:val="32"/>
          <w:szCs w:val="32"/>
          <w:u w:val="none"/>
          <w:lang w:val="en-US" w:eastAsia="zh-CN" w:bidi="ar"/>
        </w:rPr>
        <w:t>6.退耕还林地的林木补偿按国家及贵州省的有关规定执行。</w:t>
      </w:r>
    </w:p>
    <w:p>
      <w:pPr>
        <w:rPr>
          <w:rFonts w:hint="default" w:ascii="Times New Roman" w:hAnsi="Times New Roman" w:eastAsia="仿宋" w:cs="Times New Roman"/>
          <w:color w:val="auto"/>
          <w:sz w:val="24"/>
          <w:szCs w:val="32"/>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851" w:footer="141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A" w:csb1="0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auto"/>
    <w:pitch w:val="default"/>
    <w:sig w:usb0="00000000" w:usb1="00000000" w:usb2="00000000" w:usb3="00000000" w:csb0="00000000" w:csb1="00000000"/>
  </w:font>
  <w:font w:name="FZSongS-Extended">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default" w:asciiTheme="minorEastAsia" w:hAnsiTheme="minorEastAsia" w:eastAsiaTheme="minorEastAsia"/>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28</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p>
    <w:pPr>
      <w:pStyle w:val="13"/>
      <w:rPr>
        <w:rFonts w:ascii="宋体" w:hAnsi="宋体"/>
        <w:sz w:val="28"/>
        <w:szCs w:val="28"/>
      </w:rPr>
    </w:pPr>
    <w:r>
      <w:rPr>
        <w:sz w:val="1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TgyMDQ3ZmE0MDZlN2Y4OTMzNDkwMDQ0MWY3NjAifQ=="/>
  </w:docVars>
  <w:rsids>
    <w:rsidRoot w:val="00B71733"/>
    <w:rsid w:val="00011B63"/>
    <w:rsid w:val="000231B2"/>
    <w:rsid w:val="00024BF9"/>
    <w:rsid w:val="00025E07"/>
    <w:rsid w:val="0003304D"/>
    <w:rsid w:val="000742C0"/>
    <w:rsid w:val="00082BE2"/>
    <w:rsid w:val="00084FA1"/>
    <w:rsid w:val="00087A1E"/>
    <w:rsid w:val="0009085E"/>
    <w:rsid w:val="000A066C"/>
    <w:rsid w:val="000D242C"/>
    <w:rsid w:val="000D2660"/>
    <w:rsid w:val="000F27B0"/>
    <w:rsid w:val="00102CEA"/>
    <w:rsid w:val="00103286"/>
    <w:rsid w:val="001105A0"/>
    <w:rsid w:val="00112178"/>
    <w:rsid w:val="0012605B"/>
    <w:rsid w:val="001265DD"/>
    <w:rsid w:val="00137F52"/>
    <w:rsid w:val="0015059F"/>
    <w:rsid w:val="00151672"/>
    <w:rsid w:val="001555AB"/>
    <w:rsid w:val="00157199"/>
    <w:rsid w:val="001721DB"/>
    <w:rsid w:val="00187574"/>
    <w:rsid w:val="001A5203"/>
    <w:rsid w:val="001F7AF0"/>
    <w:rsid w:val="00202FD0"/>
    <w:rsid w:val="002209E8"/>
    <w:rsid w:val="00245B08"/>
    <w:rsid w:val="0025095C"/>
    <w:rsid w:val="002525E4"/>
    <w:rsid w:val="002A58CC"/>
    <w:rsid w:val="002C04B5"/>
    <w:rsid w:val="002D1DE9"/>
    <w:rsid w:val="00312171"/>
    <w:rsid w:val="00321B5C"/>
    <w:rsid w:val="00346EF8"/>
    <w:rsid w:val="003607B0"/>
    <w:rsid w:val="00361CF4"/>
    <w:rsid w:val="00370FE3"/>
    <w:rsid w:val="003949F4"/>
    <w:rsid w:val="00414231"/>
    <w:rsid w:val="00426AF0"/>
    <w:rsid w:val="004435E4"/>
    <w:rsid w:val="004A73D1"/>
    <w:rsid w:val="004B3888"/>
    <w:rsid w:val="004C338C"/>
    <w:rsid w:val="004D6959"/>
    <w:rsid w:val="004D7D7A"/>
    <w:rsid w:val="004E336D"/>
    <w:rsid w:val="00506AD4"/>
    <w:rsid w:val="005130B9"/>
    <w:rsid w:val="0052728A"/>
    <w:rsid w:val="00533357"/>
    <w:rsid w:val="005341C0"/>
    <w:rsid w:val="005560AD"/>
    <w:rsid w:val="00557F77"/>
    <w:rsid w:val="005929D4"/>
    <w:rsid w:val="00594F2A"/>
    <w:rsid w:val="005C02E8"/>
    <w:rsid w:val="005D3A9E"/>
    <w:rsid w:val="00624E49"/>
    <w:rsid w:val="006274A6"/>
    <w:rsid w:val="00627D48"/>
    <w:rsid w:val="0063125F"/>
    <w:rsid w:val="006354FC"/>
    <w:rsid w:val="0063670B"/>
    <w:rsid w:val="00640FE0"/>
    <w:rsid w:val="00651048"/>
    <w:rsid w:val="00663334"/>
    <w:rsid w:val="0068236A"/>
    <w:rsid w:val="00697A45"/>
    <w:rsid w:val="006C6463"/>
    <w:rsid w:val="00713EAC"/>
    <w:rsid w:val="00742D33"/>
    <w:rsid w:val="00747CB8"/>
    <w:rsid w:val="00774426"/>
    <w:rsid w:val="00780876"/>
    <w:rsid w:val="00781024"/>
    <w:rsid w:val="007D5CCF"/>
    <w:rsid w:val="007E62E5"/>
    <w:rsid w:val="007F7F8A"/>
    <w:rsid w:val="0080159A"/>
    <w:rsid w:val="00802B62"/>
    <w:rsid w:val="00812352"/>
    <w:rsid w:val="008315B0"/>
    <w:rsid w:val="0084386E"/>
    <w:rsid w:val="00861245"/>
    <w:rsid w:val="008A17C1"/>
    <w:rsid w:val="008A1CB5"/>
    <w:rsid w:val="008A28A0"/>
    <w:rsid w:val="008B21E3"/>
    <w:rsid w:val="008D09A8"/>
    <w:rsid w:val="008D3536"/>
    <w:rsid w:val="008D3A58"/>
    <w:rsid w:val="008D5536"/>
    <w:rsid w:val="008E1C24"/>
    <w:rsid w:val="008E4832"/>
    <w:rsid w:val="008F4118"/>
    <w:rsid w:val="00900D4B"/>
    <w:rsid w:val="0090532A"/>
    <w:rsid w:val="0091240E"/>
    <w:rsid w:val="00931C83"/>
    <w:rsid w:val="009331BB"/>
    <w:rsid w:val="00933D7D"/>
    <w:rsid w:val="00935046"/>
    <w:rsid w:val="00947971"/>
    <w:rsid w:val="00947F6D"/>
    <w:rsid w:val="00962CFD"/>
    <w:rsid w:val="0099566A"/>
    <w:rsid w:val="00996D6F"/>
    <w:rsid w:val="009A36A3"/>
    <w:rsid w:val="009D61CE"/>
    <w:rsid w:val="009F5C7C"/>
    <w:rsid w:val="00A50E56"/>
    <w:rsid w:val="00A527AE"/>
    <w:rsid w:val="00A57FE6"/>
    <w:rsid w:val="00A77D60"/>
    <w:rsid w:val="00AA368A"/>
    <w:rsid w:val="00AC6202"/>
    <w:rsid w:val="00AC6598"/>
    <w:rsid w:val="00AD08FA"/>
    <w:rsid w:val="00AD70D2"/>
    <w:rsid w:val="00B02746"/>
    <w:rsid w:val="00B0602C"/>
    <w:rsid w:val="00B2659A"/>
    <w:rsid w:val="00B47D25"/>
    <w:rsid w:val="00B50123"/>
    <w:rsid w:val="00B71733"/>
    <w:rsid w:val="00B7517F"/>
    <w:rsid w:val="00B832C2"/>
    <w:rsid w:val="00BA6512"/>
    <w:rsid w:val="00BB22B6"/>
    <w:rsid w:val="00BB2434"/>
    <w:rsid w:val="00BB785A"/>
    <w:rsid w:val="00BC01C7"/>
    <w:rsid w:val="00C17D55"/>
    <w:rsid w:val="00C351B7"/>
    <w:rsid w:val="00C51049"/>
    <w:rsid w:val="00C6222E"/>
    <w:rsid w:val="00C62B20"/>
    <w:rsid w:val="00C64782"/>
    <w:rsid w:val="00C6665B"/>
    <w:rsid w:val="00C669B8"/>
    <w:rsid w:val="00C76AD0"/>
    <w:rsid w:val="00C81355"/>
    <w:rsid w:val="00C92B0C"/>
    <w:rsid w:val="00CB6979"/>
    <w:rsid w:val="00CD2C29"/>
    <w:rsid w:val="00CD580B"/>
    <w:rsid w:val="00CE0381"/>
    <w:rsid w:val="00CE49D1"/>
    <w:rsid w:val="00CE74AB"/>
    <w:rsid w:val="00D15F55"/>
    <w:rsid w:val="00D16C28"/>
    <w:rsid w:val="00D81FAB"/>
    <w:rsid w:val="00D96365"/>
    <w:rsid w:val="00DC038C"/>
    <w:rsid w:val="00DC2A20"/>
    <w:rsid w:val="00DD6999"/>
    <w:rsid w:val="00DE4DF4"/>
    <w:rsid w:val="00DE7CD1"/>
    <w:rsid w:val="00DF6DAF"/>
    <w:rsid w:val="00E0524D"/>
    <w:rsid w:val="00E07221"/>
    <w:rsid w:val="00E12A90"/>
    <w:rsid w:val="00E36FEA"/>
    <w:rsid w:val="00E37DA1"/>
    <w:rsid w:val="00E70B76"/>
    <w:rsid w:val="00E70F33"/>
    <w:rsid w:val="00E90B76"/>
    <w:rsid w:val="00E9100B"/>
    <w:rsid w:val="00E9780F"/>
    <w:rsid w:val="00EA3118"/>
    <w:rsid w:val="00EB0A82"/>
    <w:rsid w:val="00EF18E3"/>
    <w:rsid w:val="00F05964"/>
    <w:rsid w:val="00F32A20"/>
    <w:rsid w:val="00F61525"/>
    <w:rsid w:val="00F74471"/>
    <w:rsid w:val="00F75C94"/>
    <w:rsid w:val="00F82BC7"/>
    <w:rsid w:val="00F95C40"/>
    <w:rsid w:val="00FB1B6F"/>
    <w:rsid w:val="00FC66C5"/>
    <w:rsid w:val="00FD4A76"/>
    <w:rsid w:val="00FE553D"/>
    <w:rsid w:val="01EF2F30"/>
    <w:rsid w:val="029E1A3C"/>
    <w:rsid w:val="02E101CE"/>
    <w:rsid w:val="033B3BC1"/>
    <w:rsid w:val="03F10A21"/>
    <w:rsid w:val="041471C5"/>
    <w:rsid w:val="04310329"/>
    <w:rsid w:val="04612EA9"/>
    <w:rsid w:val="060E4358"/>
    <w:rsid w:val="065F2269"/>
    <w:rsid w:val="07BB5197"/>
    <w:rsid w:val="08745503"/>
    <w:rsid w:val="08CD7A2F"/>
    <w:rsid w:val="09367E91"/>
    <w:rsid w:val="0B172B90"/>
    <w:rsid w:val="0B842F0B"/>
    <w:rsid w:val="0C576A65"/>
    <w:rsid w:val="0D043BFD"/>
    <w:rsid w:val="0D115A62"/>
    <w:rsid w:val="0DAC1CA5"/>
    <w:rsid w:val="0ED3244D"/>
    <w:rsid w:val="0EEB1C90"/>
    <w:rsid w:val="0F9A1997"/>
    <w:rsid w:val="10D53352"/>
    <w:rsid w:val="11A56725"/>
    <w:rsid w:val="13600539"/>
    <w:rsid w:val="13F970FD"/>
    <w:rsid w:val="148D652C"/>
    <w:rsid w:val="1530321B"/>
    <w:rsid w:val="153E27F4"/>
    <w:rsid w:val="1727C8CC"/>
    <w:rsid w:val="176F4E3C"/>
    <w:rsid w:val="17DF2571"/>
    <w:rsid w:val="18DB1516"/>
    <w:rsid w:val="192F5902"/>
    <w:rsid w:val="1A0A0AE5"/>
    <w:rsid w:val="1A661DAE"/>
    <w:rsid w:val="1B4C4D96"/>
    <w:rsid w:val="1D447130"/>
    <w:rsid w:val="1D6E5717"/>
    <w:rsid w:val="1D7F7B56"/>
    <w:rsid w:val="1E884039"/>
    <w:rsid w:val="1ED50A9A"/>
    <w:rsid w:val="1F9E1976"/>
    <w:rsid w:val="1FAD5E16"/>
    <w:rsid w:val="1FE4657F"/>
    <w:rsid w:val="1FF5B6CD"/>
    <w:rsid w:val="1FFF0584"/>
    <w:rsid w:val="20CC2008"/>
    <w:rsid w:val="20CD52C4"/>
    <w:rsid w:val="24041E82"/>
    <w:rsid w:val="2441672F"/>
    <w:rsid w:val="251A0B4B"/>
    <w:rsid w:val="256610DA"/>
    <w:rsid w:val="25B02299"/>
    <w:rsid w:val="25DD45B4"/>
    <w:rsid w:val="25DF579A"/>
    <w:rsid w:val="25E770D1"/>
    <w:rsid w:val="268665E1"/>
    <w:rsid w:val="270C7C62"/>
    <w:rsid w:val="271415ED"/>
    <w:rsid w:val="279F19FC"/>
    <w:rsid w:val="27F94916"/>
    <w:rsid w:val="2BEBA316"/>
    <w:rsid w:val="2D4B06FF"/>
    <w:rsid w:val="2DFFFC32"/>
    <w:rsid w:val="2E9B5455"/>
    <w:rsid w:val="2F046DFA"/>
    <w:rsid w:val="2F253F8F"/>
    <w:rsid w:val="2F883226"/>
    <w:rsid w:val="2FA3FB0E"/>
    <w:rsid w:val="2FE1CDFB"/>
    <w:rsid w:val="2FEFE045"/>
    <w:rsid w:val="2FFE0F3C"/>
    <w:rsid w:val="2FFEBEC4"/>
    <w:rsid w:val="32AB6671"/>
    <w:rsid w:val="32AE0E09"/>
    <w:rsid w:val="32F403BA"/>
    <w:rsid w:val="33027333"/>
    <w:rsid w:val="3308763D"/>
    <w:rsid w:val="33584C1F"/>
    <w:rsid w:val="33B85E3C"/>
    <w:rsid w:val="340261AB"/>
    <w:rsid w:val="349D47D9"/>
    <w:rsid w:val="34F5DC09"/>
    <w:rsid w:val="35AD8CC6"/>
    <w:rsid w:val="3708729F"/>
    <w:rsid w:val="372741F3"/>
    <w:rsid w:val="37331C15"/>
    <w:rsid w:val="378F06B4"/>
    <w:rsid w:val="37A7B911"/>
    <w:rsid w:val="387A7E26"/>
    <w:rsid w:val="387F2C5B"/>
    <w:rsid w:val="38AD5ED1"/>
    <w:rsid w:val="3A9110D2"/>
    <w:rsid w:val="3ACF6058"/>
    <w:rsid w:val="3B837531"/>
    <w:rsid w:val="3CF220B5"/>
    <w:rsid w:val="3CFA33E8"/>
    <w:rsid w:val="3CFE7FD1"/>
    <w:rsid w:val="3D4E773E"/>
    <w:rsid w:val="3D880F9F"/>
    <w:rsid w:val="3D9D76B4"/>
    <w:rsid w:val="3DCA5575"/>
    <w:rsid w:val="3E0B0106"/>
    <w:rsid w:val="3F3DD0B3"/>
    <w:rsid w:val="3FA75389"/>
    <w:rsid w:val="3FAE5EF7"/>
    <w:rsid w:val="3FF6575A"/>
    <w:rsid w:val="40871FA0"/>
    <w:rsid w:val="40F935F0"/>
    <w:rsid w:val="427966BB"/>
    <w:rsid w:val="432C1904"/>
    <w:rsid w:val="437B6009"/>
    <w:rsid w:val="44E37F99"/>
    <w:rsid w:val="45C16A47"/>
    <w:rsid w:val="46387620"/>
    <w:rsid w:val="46612108"/>
    <w:rsid w:val="46745C64"/>
    <w:rsid w:val="477C6CCD"/>
    <w:rsid w:val="477F542F"/>
    <w:rsid w:val="477F71A6"/>
    <w:rsid w:val="47970137"/>
    <w:rsid w:val="47A7651A"/>
    <w:rsid w:val="490528E6"/>
    <w:rsid w:val="49261DC0"/>
    <w:rsid w:val="497A43BB"/>
    <w:rsid w:val="49EE05BE"/>
    <w:rsid w:val="4A34038E"/>
    <w:rsid w:val="4A483E41"/>
    <w:rsid w:val="4AB23958"/>
    <w:rsid w:val="4AB420EE"/>
    <w:rsid w:val="4ADB6BF6"/>
    <w:rsid w:val="4B012A07"/>
    <w:rsid w:val="4BA65193"/>
    <w:rsid w:val="4D8E07D2"/>
    <w:rsid w:val="4E110306"/>
    <w:rsid w:val="4ED20312"/>
    <w:rsid w:val="4EE1783B"/>
    <w:rsid w:val="4FFAC6D3"/>
    <w:rsid w:val="504C4101"/>
    <w:rsid w:val="504F75C4"/>
    <w:rsid w:val="50B441D5"/>
    <w:rsid w:val="517C6581"/>
    <w:rsid w:val="51BA78EE"/>
    <w:rsid w:val="520B5799"/>
    <w:rsid w:val="522153FA"/>
    <w:rsid w:val="5232101E"/>
    <w:rsid w:val="52DA4C09"/>
    <w:rsid w:val="53BEE17D"/>
    <w:rsid w:val="53FDCC15"/>
    <w:rsid w:val="542E6AE2"/>
    <w:rsid w:val="54667FC1"/>
    <w:rsid w:val="54C73613"/>
    <w:rsid w:val="54C80CE2"/>
    <w:rsid w:val="54E04AE3"/>
    <w:rsid w:val="54E429FF"/>
    <w:rsid w:val="553602FA"/>
    <w:rsid w:val="55414364"/>
    <w:rsid w:val="562D2CF6"/>
    <w:rsid w:val="567BB764"/>
    <w:rsid w:val="56D9282A"/>
    <w:rsid w:val="56EF4105"/>
    <w:rsid w:val="571A0D63"/>
    <w:rsid w:val="57E2A0FD"/>
    <w:rsid w:val="57F6A742"/>
    <w:rsid w:val="57FF9854"/>
    <w:rsid w:val="588A19D9"/>
    <w:rsid w:val="589D707D"/>
    <w:rsid w:val="58A17895"/>
    <w:rsid w:val="590B4CE0"/>
    <w:rsid w:val="590F8C27"/>
    <w:rsid w:val="5992772C"/>
    <w:rsid w:val="59B155B6"/>
    <w:rsid w:val="5A7A26D7"/>
    <w:rsid w:val="5B047D40"/>
    <w:rsid w:val="5B570420"/>
    <w:rsid w:val="5B846A5C"/>
    <w:rsid w:val="5B8DF95C"/>
    <w:rsid w:val="5BAFCAED"/>
    <w:rsid w:val="5C717F12"/>
    <w:rsid w:val="5CBC3219"/>
    <w:rsid w:val="5D045FC9"/>
    <w:rsid w:val="5D5D3FA4"/>
    <w:rsid w:val="5D6E1B81"/>
    <w:rsid w:val="5D9D24FE"/>
    <w:rsid w:val="5DB18B0A"/>
    <w:rsid w:val="5DBE2A84"/>
    <w:rsid w:val="5DBF40EF"/>
    <w:rsid w:val="5DDDD12E"/>
    <w:rsid w:val="5DF247B5"/>
    <w:rsid w:val="5EBFE272"/>
    <w:rsid w:val="5F5F104B"/>
    <w:rsid w:val="5F86218F"/>
    <w:rsid w:val="5FC3CC4B"/>
    <w:rsid w:val="5FD18AEC"/>
    <w:rsid w:val="5FF70733"/>
    <w:rsid w:val="5FFEEE94"/>
    <w:rsid w:val="5FFF8E68"/>
    <w:rsid w:val="61526095"/>
    <w:rsid w:val="62393E6D"/>
    <w:rsid w:val="62F82F85"/>
    <w:rsid w:val="63943483"/>
    <w:rsid w:val="63946A60"/>
    <w:rsid w:val="639A2152"/>
    <w:rsid w:val="645659B0"/>
    <w:rsid w:val="646374F6"/>
    <w:rsid w:val="64EC1D44"/>
    <w:rsid w:val="64F5141E"/>
    <w:rsid w:val="65241FA7"/>
    <w:rsid w:val="6587411B"/>
    <w:rsid w:val="65F66C70"/>
    <w:rsid w:val="65F79702"/>
    <w:rsid w:val="66B726C9"/>
    <w:rsid w:val="67176B71"/>
    <w:rsid w:val="672A0AFE"/>
    <w:rsid w:val="673018F1"/>
    <w:rsid w:val="675BC058"/>
    <w:rsid w:val="67BF2FB5"/>
    <w:rsid w:val="67D7661C"/>
    <w:rsid w:val="67DC1429"/>
    <w:rsid w:val="6835740F"/>
    <w:rsid w:val="68FA278B"/>
    <w:rsid w:val="69261D63"/>
    <w:rsid w:val="6A17352C"/>
    <w:rsid w:val="6AA83B3E"/>
    <w:rsid w:val="6B3D3591"/>
    <w:rsid w:val="6B572182"/>
    <w:rsid w:val="6B5FBFE1"/>
    <w:rsid w:val="6BBD775B"/>
    <w:rsid w:val="6BD560BC"/>
    <w:rsid w:val="6BDC35D8"/>
    <w:rsid w:val="6BDD74A5"/>
    <w:rsid w:val="6BFE8219"/>
    <w:rsid w:val="6CDBAF44"/>
    <w:rsid w:val="6D4E2D68"/>
    <w:rsid w:val="6D6A0F4B"/>
    <w:rsid w:val="6D753A6E"/>
    <w:rsid w:val="6DD3509F"/>
    <w:rsid w:val="6DE949CA"/>
    <w:rsid w:val="6EB7D193"/>
    <w:rsid w:val="6ED3189B"/>
    <w:rsid w:val="6F0C6F46"/>
    <w:rsid w:val="6F4E0906"/>
    <w:rsid w:val="6F67DEB5"/>
    <w:rsid w:val="6F7F617D"/>
    <w:rsid w:val="6F9BF3CB"/>
    <w:rsid w:val="6FA312D6"/>
    <w:rsid w:val="6FC7ECED"/>
    <w:rsid w:val="71C532FB"/>
    <w:rsid w:val="7300608C"/>
    <w:rsid w:val="735B2076"/>
    <w:rsid w:val="738742D3"/>
    <w:rsid w:val="73D47319"/>
    <w:rsid w:val="73F7164F"/>
    <w:rsid w:val="74B22229"/>
    <w:rsid w:val="74DD717F"/>
    <w:rsid w:val="752043CD"/>
    <w:rsid w:val="754F9BA4"/>
    <w:rsid w:val="75FB0A40"/>
    <w:rsid w:val="765C56C3"/>
    <w:rsid w:val="777C9055"/>
    <w:rsid w:val="777E86F0"/>
    <w:rsid w:val="779F42ED"/>
    <w:rsid w:val="77EB7B44"/>
    <w:rsid w:val="77F98592"/>
    <w:rsid w:val="77FF9C1A"/>
    <w:rsid w:val="782B210E"/>
    <w:rsid w:val="7857D964"/>
    <w:rsid w:val="78882919"/>
    <w:rsid w:val="7A8E3CEB"/>
    <w:rsid w:val="7AAF918D"/>
    <w:rsid w:val="7ABF8590"/>
    <w:rsid w:val="7AF3A6F0"/>
    <w:rsid w:val="7AFB642F"/>
    <w:rsid w:val="7B2F5EB3"/>
    <w:rsid w:val="7B381A2A"/>
    <w:rsid w:val="7B7F06AD"/>
    <w:rsid w:val="7B840239"/>
    <w:rsid w:val="7B9FEA03"/>
    <w:rsid w:val="7BAD0535"/>
    <w:rsid w:val="7BBC6CC2"/>
    <w:rsid w:val="7BC174C3"/>
    <w:rsid w:val="7BE46CFC"/>
    <w:rsid w:val="7BF7B391"/>
    <w:rsid w:val="7BF7CA6F"/>
    <w:rsid w:val="7BFB165A"/>
    <w:rsid w:val="7BFBB8F0"/>
    <w:rsid w:val="7BFD613B"/>
    <w:rsid w:val="7C8B1AB5"/>
    <w:rsid w:val="7D357A2E"/>
    <w:rsid w:val="7D5F9F50"/>
    <w:rsid w:val="7DC7A6D4"/>
    <w:rsid w:val="7DEDC227"/>
    <w:rsid w:val="7DF9ADBB"/>
    <w:rsid w:val="7E39BF4D"/>
    <w:rsid w:val="7EBF3F96"/>
    <w:rsid w:val="7EEA7231"/>
    <w:rsid w:val="7EEFDD3A"/>
    <w:rsid w:val="7EFBD11B"/>
    <w:rsid w:val="7EFD7E38"/>
    <w:rsid w:val="7F1B57FF"/>
    <w:rsid w:val="7F376230"/>
    <w:rsid w:val="7F5D5DBD"/>
    <w:rsid w:val="7F77A2D7"/>
    <w:rsid w:val="7F7ABB73"/>
    <w:rsid w:val="7F8DDD2F"/>
    <w:rsid w:val="7FAFBE64"/>
    <w:rsid w:val="7FBC3312"/>
    <w:rsid w:val="7FBD1B9B"/>
    <w:rsid w:val="7FD6C575"/>
    <w:rsid w:val="7FD77964"/>
    <w:rsid w:val="7FDC5D31"/>
    <w:rsid w:val="7FDF6A2D"/>
    <w:rsid w:val="7FDFD79D"/>
    <w:rsid w:val="7FEE55D0"/>
    <w:rsid w:val="7FF9EA0F"/>
    <w:rsid w:val="7FFB50EC"/>
    <w:rsid w:val="7FFBF53C"/>
    <w:rsid w:val="7FFED680"/>
    <w:rsid w:val="7FFF1AEF"/>
    <w:rsid w:val="7FFF468A"/>
    <w:rsid w:val="7FFFDF2D"/>
    <w:rsid w:val="84BF4A1D"/>
    <w:rsid w:val="8A8F526A"/>
    <w:rsid w:val="8CAC4018"/>
    <w:rsid w:val="8FFE66C2"/>
    <w:rsid w:val="95EB3869"/>
    <w:rsid w:val="9776273F"/>
    <w:rsid w:val="979E3101"/>
    <w:rsid w:val="9BB54E17"/>
    <w:rsid w:val="9E7F7E6B"/>
    <w:rsid w:val="A7FD2EF6"/>
    <w:rsid w:val="AABD1EE8"/>
    <w:rsid w:val="ABFFA2B2"/>
    <w:rsid w:val="ACDF3E26"/>
    <w:rsid w:val="AFBFED91"/>
    <w:rsid w:val="AFEBDDFD"/>
    <w:rsid w:val="B1B77070"/>
    <w:rsid w:val="B3B41E25"/>
    <w:rsid w:val="B3E52686"/>
    <w:rsid w:val="B7D779F5"/>
    <w:rsid w:val="B7FB0751"/>
    <w:rsid w:val="BB4F27EF"/>
    <w:rsid w:val="BBF8CB9B"/>
    <w:rsid w:val="BCEBA641"/>
    <w:rsid w:val="BD9FC699"/>
    <w:rsid w:val="BDECE4AF"/>
    <w:rsid w:val="BEFBA03A"/>
    <w:rsid w:val="BFC936F0"/>
    <w:rsid w:val="BFF6D94E"/>
    <w:rsid w:val="BFF6E079"/>
    <w:rsid w:val="CEFFA4F7"/>
    <w:rsid w:val="CF7D9084"/>
    <w:rsid w:val="D6BF096D"/>
    <w:rsid w:val="D6F7EF4D"/>
    <w:rsid w:val="DAEF9B4C"/>
    <w:rsid w:val="DBC58F6F"/>
    <w:rsid w:val="DC3EFB68"/>
    <w:rsid w:val="DE6FD7F3"/>
    <w:rsid w:val="DF5CAA66"/>
    <w:rsid w:val="DFAFF677"/>
    <w:rsid w:val="DFB13466"/>
    <w:rsid w:val="DFD58D23"/>
    <w:rsid w:val="DFDB68E0"/>
    <w:rsid w:val="DFEFE4D8"/>
    <w:rsid w:val="DFF7DA8E"/>
    <w:rsid w:val="E0FFC1B3"/>
    <w:rsid w:val="E5FB78FE"/>
    <w:rsid w:val="E9CBA6F8"/>
    <w:rsid w:val="EAD7139A"/>
    <w:rsid w:val="EB4F6F78"/>
    <w:rsid w:val="EB5FA4C6"/>
    <w:rsid w:val="EE3F456B"/>
    <w:rsid w:val="EEBE091D"/>
    <w:rsid w:val="EFBA88CB"/>
    <w:rsid w:val="EFEEC398"/>
    <w:rsid w:val="EFF78EE6"/>
    <w:rsid w:val="F11FC86C"/>
    <w:rsid w:val="F1BD61A3"/>
    <w:rsid w:val="F1DDFF22"/>
    <w:rsid w:val="F3FB2A10"/>
    <w:rsid w:val="F4B734C2"/>
    <w:rsid w:val="F5028420"/>
    <w:rsid w:val="F517EC84"/>
    <w:rsid w:val="F5297A7F"/>
    <w:rsid w:val="F54BC353"/>
    <w:rsid w:val="F56B6C9C"/>
    <w:rsid w:val="F5FF7F45"/>
    <w:rsid w:val="F65A112D"/>
    <w:rsid w:val="F7DE9757"/>
    <w:rsid w:val="F7EAD946"/>
    <w:rsid w:val="F7F7ED0D"/>
    <w:rsid w:val="F7FB2D1B"/>
    <w:rsid w:val="F7FF74BB"/>
    <w:rsid w:val="F7FFA8A1"/>
    <w:rsid w:val="F95264C8"/>
    <w:rsid w:val="F974FC71"/>
    <w:rsid w:val="F9DE62D6"/>
    <w:rsid w:val="F9FF72EE"/>
    <w:rsid w:val="F9FF9F00"/>
    <w:rsid w:val="FA5DB664"/>
    <w:rsid w:val="FB6F6A03"/>
    <w:rsid w:val="FB7F716A"/>
    <w:rsid w:val="FB7FA9EE"/>
    <w:rsid w:val="FBED77C1"/>
    <w:rsid w:val="FBEDA2A1"/>
    <w:rsid w:val="FBF68F98"/>
    <w:rsid w:val="FBFECF94"/>
    <w:rsid w:val="FBFF780A"/>
    <w:rsid w:val="FCB37C60"/>
    <w:rsid w:val="FCBF84AD"/>
    <w:rsid w:val="FCCFE7AD"/>
    <w:rsid w:val="FDFE8A0C"/>
    <w:rsid w:val="FE3750CA"/>
    <w:rsid w:val="FE7B0E2D"/>
    <w:rsid w:val="FEFBC4F4"/>
    <w:rsid w:val="FEFF27B8"/>
    <w:rsid w:val="FF552C5B"/>
    <w:rsid w:val="FF76813F"/>
    <w:rsid w:val="FFB897AE"/>
    <w:rsid w:val="FFBF7BEF"/>
    <w:rsid w:val="FFBFD608"/>
    <w:rsid w:val="FFCBA710"/>
    <w:rsid w:val="FFD3F3B3"/>
    <w:rsid w:val="FFDE56A1"/>
    <w:rsid w:val="FFDF0AB7"/>
    <w:rsid w:val="FFEB03E2"/>
    <w:rsid w:val="FFEEC763"/>
    <w:rsid w:val="FFFDE3A0"/>
    <w:rsid w:val="FFFF061E"/>
    <w:rsid w:val="FFFF9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keepNext/>
      <w:keepLines/>
      <w:spacing w:line="560" w:lineRule="exact"/>
      <w:jc w:val="center"/>
      <w:outlineLvl w:val="0"/>
    </w:pPr>
    <w:rPr>
      <w:rFonts w:eastAsia="方正小标宋简体"/>
      <w:kern w:val="44"/>
      <w:sz w:val="4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link w:val="46"/>
    <w:unhideWhenUsed/>
    <w:qFormat/>
    <w:uiPriority w:val="0"/>
    <w:pPr>
      <w:keepNext/>
      <w:keepLines/>
      <w:spacing w:beforeLines="0" w:beforeAutospacing="0" w:afterLines="0" w:afterAutospacing="0" w:line="560" w:lineRule="exact"/>
      <w:outlineLvl w:val="2"/>
    </w:pPr>
    <w:rPr>
      <w:rFonts w:ascii="Times New Roman" w:hAnsi="Times New Roman" w:eastAsia="楷体_GB2312"/>
    </w:rPr>
  </w:style>
  <w:style w:type="paragraph" w:styleId="6">
    <w:name w:val="heading 4"/>
    <w:basedOn w:val="1"/>
    <w:next w:val="1"/>
    <w:unhideWhenUsed/>
    <w:qFormat/>
    <w:uiPriority w:val="0"/>
    <w:pPr>
      <w:spacing w:before="280" w:after="290" w:line="376" w:lineRule="atLeast"/>
      <w:ind w:firstLine="600"/>
      <w:outlineLvl w:val="3"/>
    </w:pPr>
    <w:rPr>
      <w:rFonts w:ascii="Arial" w:eastAsia="黑体"/>
      <w:b/>
      <w:color w:val="000000"/>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unhideWhenUsed/>
    <w:qFormat/>
    <w:uiPriority w:val="99"/>
    <w:pPr>
      <w:ind w:firstLine="420" w:firstLineChars="200"/>
    </w:pPr>
  </w:style>
  <w:style w:type="paragraph" w:styleId="9">
    <w:name w:val="Body Text"/>
    <w:basedOn w:val="1"/>
    <w:next w:val="1"/>
    <w:qFormat/>
    <w:uiPriority w:val="1"/>
    <w:pPr>
      <w:ind w:left="140"/>
    </w:pPr>
    <w:rPr>
      <w:sz w:val="32"/>
      <w:szCs w:val="32"/>
    </w:rPr>
  </w:style>
  <w:style w:type="paragraph" w:styleId="10">
    <w:name w:val="Body Text Indent"/>
    <w:basedOn w:val="1"/>
    <w:next w:val="9"/>
    <w:qFormat/>
    <w:uiPriority w:val="0"/>
    <w:pPr>
      <w:ind w:firstLine="680"/>
    </w:pPr>
    <w:rPr>
      <w:rFonts w:ascii="仿宋_GB2312" w:hAnsi="创艺简标宋" w:eastAsia="仿宋_GB2312"/>
      <w:sz w:val="32"/>
    </w:rPr>
  </w:style>
  <w:style w:type="paragraph" w:styleId="11">
    <w:name w:val="Date"/>
    <w:basedOn w:val="1"/>
    <w:next w:val="1"/>
    <w:link w:val="34"/>
    <w:unhideWhenUsed/>
    <w:qFormat/>
    <w:uiPriority w:val="0"/>
    <w:pPr>
      <w:ind w:left="100" w:leftChars="2500"/>
    </w:pPr>
  </w:style>
  <w:style w:type="paragraph" w:styleId="12">
    <w:name w:val="Balloon Text"/>
    <w:basedOn w:val="1"/>
    <w:link w:val="33"/>
    <w:semiHidden/>
    <w:unhideWhenUsed/>
    <w:qFormat/>
    <w:uiPriority w:val="99"/>
    <w:rPr>
      <w:sz w:val="18"/>
      <w:szCs w:val="18"/>
    </w:rPr>
  </w:style>
  <w:style w:type="paragraph" w:styleId="13">
    <w:name w:val="footer"/>
    <w:basedOn w:val="1"/>
    <w:next w:val="1"/>
    <w:link w:val="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unhideWhenUsed/>
    <w:qFormat/>
    <w:uiPriority w:val="99"/>
    <w:pPr>
      <w:snapToGrid w:val="0"/>
      <w:jc w:val="left"/>
    </w:pPr>
    <w:rPr>
      <w:sz w:val="18"/>
    </w:rPr>
  </w:style>
  <w:style w:type="paragraph" w:styleId="16">
    <w:name w:val="Normal (Web)"/>
    <w:basedOn w:val="1"/>
    <w:qFormat/>
    <w:uiPriority w:val="99"/>
    <w:pPr>
      <w:widowControl/>
      <w:jc w:val="left"/>
    </w:pPr>
    <w:rPr>
      <w:rFonts w:ascii="宋体" w:hAnsi="宋体" w:cs="宋体"/>
      <w:kern w:val="0"/>
      <w:sz w:val="24"/>
      <w:szCs w:val="24"/>
    </w:rPr>
  </w:style>
  <w:style w:type="paragraph" w:styleId="17">
    <w:name w:val="Body Text First Indent"/>
    <w:basedOn w:val="9"/>
    <w:semiHidden/>
    <w:unhideWhenUsed/>
    <w:qFormat/>
    <w:uiPriority w:val="99"/>
    <w:pPr>
      <w:ind w:firstLine="420" w:firstLineChars="100"/>
    </w:pPr>
  </w:style>
  <w:style w:type="paragraph" w:styleId="18">
    <w:name w:val="Body Text First Indent 2"/>
    <w:basedOn w:val="10"/>
    <w:next w:val="9"/>
    <w:semiHidden/>
    <w:unhideWhenUsed/>
    <w:qFormat/>
    <w:uiPriority w:val="99"/>
    <w:pPr>
      <w:ind w:firstLine="420" w:firstLineChars="200"/>
    </w:p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Hyperlink"/>
    <w:basedOn w:val="24"/>
    <w:qFormat/>
    <w:uiPriority w:val="0"/>
    <w:rPr>
      <w:color w:val="0000FF"/>
      <w:u w:val="single"/>
    </w:rPr>
  </w:style>
  <w:style w:type="character" w:customStyle="1" w:styleId="24">
    <w:name w:val="NormalCharacter"/>
    <w:link w:val="1"/>
    <w:qFormat/>
    <w:uiPriority w:val="0"/>
    <w:rPr>
      <w:rFonts w:ascii="Times New Roman" w:hAnsi="Times New Roman" w:eastAsia="仿宋_GB2312" w:cs="Times New Roman"/>
      <w:kern w:val="2"/>
      <w:sz w:val="32"/>
      <w:szCs w:val="22"/>
      <w:lang w:val="en-US" w:eastAsia="zh-CN" w:bidi="ar-SA"/>
    </w:rPr>
  </w:style>
  <w:style w:type="paragraph" w:customStyle="1" w:styleId="25">
    <w:name w:val="标题 Char Char"/>
    <w:basedOn w:val="26"/>
    <w:next w:val="1"/>
    <w:qFormat/>
    <w:uiPriority w:val="99"/>
    <w:pPr>
      <w:spacing w:before="240" w:after="60"/>
      <w:jc w:val="center"/>
      <w:outlineLvl w:val="0"/>
    </w:pPr>
    <w:rPr>
      <w:rFonts w:ascii="Arial" w:hAnsi="Arial" w:cs="Arial"/>
      <w:b/>
      <w:bCs/>
      <w:szCs w:val="32"/>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页眉 Char"/>
    <w:basedOn w:val="21"/>
    <w:link w:val="14"/>
    <w:qFormat/>
    <w:uiPriority w:val="99"/>
    <w:rPr>
      <w:sz w:val="18"/>
      <w:szCs w:val="18"/>
    </w:rPr>
  </w:style>
  <w:style w:type="character" w:customStyle="1" w:styleId="30">
    <w:name w:val="页脚 Char"/>
    <w:basedOn w:val="21"/>
    <w:link w:val="13"/>
    <w:qFormat/>
    <w:uiPriority w:val="99"/>
    <w:rPr>
      <w:sz w:val="18"/>
      <w:szCs w:val="18"/>
    </w:rPr>
  </w:style>
  <w:style w:type="paragraph" w:customStyle="1" w:styleId="31">
    <w:name w:val="列出段落1"/>
    <w:basedOn w:val="1"/>
    <w:qFormat/>
    <w:uiPriority w:val="0"/>
    <w:pPr>
      <w:ind w:firstLine="420" w:firstLineChars="200"/>
    </w:pPr>
    <w:rPr>
      <w:szCs w:val="24"/>
    </w:rPr>
  </w:style>
  <w:style w:type="paragraph" w:styleId="32">
    <w:name w:val="List Paragraph"/>
    <w:basedOn w:val="1"/>
    <w:qFormat/>
    <w:uiPriority w:val="99"/>
    <w:pPr>
      <w:ind w:firstLine="420" w:firstLineChars="200"/>
    </w:pPr>
  </w:style>
  <w:style w:type="character" w:customStyle="1" w:styleId="33">
    <w:name w:val="批注框文本 Char"/>
    <w:basedOn w:val="21"/>
    <w:link w:val="12"/>
    <w:semiHidden/>
    <w:qFormat/>
    <w:uiPriority w:val="99"/>
    <w:rPr>
      <w:rFonts w:ascii="Calibri" w:hAnsi="Calibri" w:eastAsia="宋体" w:cs="Times New Roman"/>
      <w:sz w:val="18"/>
      <w:szCs w:val="18"/>
    </w:rPr>
  </w:style>
  <w:style w:type="character" w:customStyle="1" w:styleId="34">
    <w:name w:val="日期 Char"/>
    <w:basedOn w:val="21"/>
    <w:link w:val="11"/>
    <w:semiHidden/>
    <w:qFormat/>
    <w:uiPriority w:val="0"/>
    <w:rPr>
      <w:rFonts w:ascii="Calibri" w:hAnsi="Calibri" w:eastAsia="宋体" w:cs="Times New Roman"/>
    </w:rPr>
  </w:style>
  <w:style w:type="paragraph" w:customStyle="1" w:styleId="35">
    <w:name w:val="trs_editor"/>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36">
    <w:name w:val="TableNormal"/>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customStyle="1" w:styleId="37">
    <w:name w:val="PageNumber"/>
    <w:qFormat/>
    <w:uiPriority w:val="0"/>
  </w:style>
  <w:style w:type="character" w:customStyle="1" w:styleId="38">
    <w:name w:val="UserStyle_1"/>
    <w:link w:val="39"/>
    <w:semiHidden/>
    <w:qFormat/>
    <w:uiPriority w:val="0"/>
    <w:rPr>
      <w:rFonts w:ascii="Times New Roman" w:hAnsi="Times New Roman"/>
      <w:sz w:val="18"/>
      <w:szCs w:val="18"/>
    </w:rPr>
  </w:style>
  <w:style w:type="paragraph" w:customStyle="1" w:styleId="39">
    <w:name w:val="Acetate"/>
    <w:basedOn w:val="1"/>
    <w:link w:val="38"/>
    <w:semiHidden/>
    <w:qFormat/>
    <w:uiPriority w:val="0"/>
    <w:pPr>
      <w:widowControl/>
      <w:textAlignment w:val="baseline"/>
    </w:pPr>
    <w:rPr>
      <w:rFonts w:eastAsiaTheme="minorEastAsia" w:cstheme="minorBidi"/>
      <w:sz w:val="18"/>
      <w:szCs w:val="18"/>
    </w:rPr>
  </w:style>
  <w:style w:type="table" w:customStyle="1" w:styleId="40">
    <w:name w:val="TableGrid"/>
    <w:basedOn w:val="36"/>
    <w:qFormat/>
    <w:uiPriority w:val="0"/>
    <w:tblPr>
      <w:tblCellMar>
        <w:top w:w="0" w:type="dxa"/>
        <w:left w:w="0" w:type="dxa"/>
        <w:bottom w:w="0" w:type="dxa"/>
        <w:right w:w="0" w:type="dxa"/>
      </w:tblCellMar>
    </w:tblPr>
  </w:style>
  <w:style w:type="character" w:customStyle="1" w:styleId="41">
    <w:name w:val="批注框文本 Char1"/>
    <w:basedOn w:val="21"/>
    <w:semiHidden/>
    <w:qFormat/>
    <w:uiPriority w:val="99"/>
    <w:rPr>
      <w:rFonts w:ascii="Calibri" w:hAnsi="Calibri" w:eastAsia="宋体" w:cs="Times New Roman"/>
      <w:sz w:val="18"/>
      <w:szCs w:val="18"/>
    </w:rPr>
  </w:style>
  <w:style w:type="paragraph" w:customStyle="1" w:styleId="42">
    <w:name w:val="Table Paragraph"/>
    <w:basedOn w:val="1"/>
    <w:qFormat/>
    <w:uiPriority w:val="1"/>
  </w:style>
  <w:style w:type="paragraph" w:styleId="43">
    <w:name w:val="No Spacing"/>
    <w:basedOn w:val="1"/>
    <w:qFormat/>
    <w:uiPriority w:val="99"/>
    <w:rPr>
      <w:rFonts w:cs="Calibri"/>
      <w:szCs w:val="21"/>
    </w:rPr>
  </w:style>
  <w:style w:type="character" w:customStyle="1" w:styleId="44">
    <w:name w:val="15"/>
    <w:basedOn w:val="21"/>
    <w:qFormat/>
    <w:uiPriority w:val="0"/>
    <w:rPr>
      <w:rFonts w:hint="default" w:ascii="Calibri" w:hAnsi="Calibri" w:cs="Calibri"/>
    </w:rPr>
  </w:style>
  <w:style w:type="paragraph" w:customStyle="1" w:styleId="45">
    <w:name w:val="UserStyle_0"/>
    <w:qFormat/>
    <w:uiPriority w:val="0"/>
    <w:pPr>
      <w:textAlignment w:val="baseline"/>
    </w:pPr>
    <w:rPr>
      <w:rFonts w:ascii="Calibri" w:hAnsi="Calibri" w:eastAsia="宋体" w:cstheme="minorBidi"/>
      <w:color w:val="000000"/>
      <w:sz w:val="24"/>
      <w:szCs w:val="24"/>
      <w:lang w:val="en-US" w:eastAsia="zh-CN" w:bidi="ar-SA"/>
    </w:rPr>
  </w:style>
  <w:style w:type="character" w:customStyle="1" w:styleId="46">
    <w:name w:val="标题 3 Char"/>
    <w:link w:val="5"/>
    <w:qFormat/>
    <w:uiPriority w:val="0"/>
    <w:rPr>
      <w:rFonts w:ascii="Times New Roman" w:hAnsi="Times New Roman" w:eastAsia="楷体_GB2312"/>
    </w:rPr>
  </w:style>
  <w:style w:type="table" w:customStyle="1" w:styleId="47">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48">
    <w:name w:val="font61"/>
    <w:basedOn w:val="21"/>
    <w:qFormat/>
    <w:uiPriority w:val="0"/>
    <w:rPr>
      <w:rFonts w:hint="default" w:ascii="仿宋_GB2312" w:eastAsia="仿宋_GB2312" w:cs="仿宋_GB2312"/>
      <w:color w:val="000000"/>
      <w:sz w:val="21"/>
      <w:szCs w:val="21"/>
      <w:u w:val="none"/>
    </w:rPr>
  </w:style>
  <w:style w:type="character" w:customStyle="1" w:styleId="49">
    <w:name w:val="font91"/>
    <w:basedOn w:val="21"/>
    <w:qFormat/>
    <w:uiPriority w:val="0"/>
    <w:rPr>
      <w:rFonts w:ascii="Batang" w:hAnsi="Batang" w:eastAsia="Batang" w:cs="Batang"/>
      <w:color w:val="000000"/>
      <w:sz w:val="21"/>
      <w:szCs w:val="21"/>
      <w:u w:val="none"/>
    </w:rPr>
  </w:style>
  <w:style w:type="character" w:customStyle="1" w:styleId="50">
    <w:name w:val="font161"/>
    <w:basedOn w:val="21"/>
    <w:qFormat/>
    <w:uiPriority w:val="0"/>
    <w:rPr>
      <w:rFonts w:hint="default" w:ascii="仿宋_GB2312" w:eastAsia="仿宋_GB2312" w:cs="仿宋_GB2312"/>
      <w:color w:val="000000"/>
      <w:sz w:val="20"/>
      <w:szCs w:val="20"/>
      <w:u w:val="none"/>
    </w:rPr>
  </w:style>
  <w:style w:type="character" w:customStyle="1" w:styleId="51">
    <w:name w:val="font01"/>
    <w:basedOn w:val="21"/>
    <w:qFormat/>
    <w:uiPriority w:val="0"/>
    <w:rPr>
      <w:rFonts w:hint="eastAsia" w:ascii="Batang" w:hAnsi="Batang" w:eastAsia="Batang" w:cs="Batang"/>
      <w:color w:val="000000"/>
      <w:sz w:val="20"/>
      <w:szCs w:val="20"/>
      <w:u w:val="none"/>
    </w:rPr>
  </w:style>
  <w:style w:type="character" w:customStyle="1" w:styleId="52">
    <w:name w:val="font11"/>
    <w:basedOn w:val="21"/>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7889</Words>
  <Characters>9048</Characters>
  <Lines>31</Lines>
  <Paragraphs>8</Paragraphs>
  <TotalTime>7</TotalTime>
  <ScaleCrop>false</ScaleCrop>
  <LinksUpToDate>false</LinksUpToDate>
  <CharactersWithSpaces>9274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2020-10-16T07:38:00Z</dcterms:created>
  <dc:creator>2017年政府办公文封发</dc:creator>
  <cp:lastModifiedBy>张俊清</cp:lastModifiedBy>
  <cp:lastPrinted>2024-06-24T16:14:00Z</cp:lastPrinted>
  <dcterms:modified xsi:type="dcterms:W3CDTF">2024-08-12T07:43:45Z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04419A94D08C4D65B0370A86EF32A91D_13</vt:lpwstr>
  </property>
</Properties>
</file>