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0FEEF">
      <w:pPr>
        <w:snapToGrid w:val="0"/>
        <w:spacing w:line="460" w:lineRule="atLeast"/>
        <w:ind w:firstLine="883"/>
        <w:jc w:val="center"/>
        <w:rPr>
          <w:rFonts w:hint="eastAsia" w:ascii="宋体" w:hAnsi="宋体"/>
          <w:b/>
          <w:sz w:val="44"/>
          <w:szCs w:val="44"/>
        </w:rPr>
      </w:pPr>
      <w:bookmarkStart w:id="0" w:name="_Toc89101474"/>
      <w:bookmarkStart w:id="1" w:name="_Toc165999702"/>
    </w:p>
    <w:p w14:paraId="5A7D7C13">
      <w:pPr>
        <w:snapToGrid w:val="0"/>
        <w:spacing w:line="360" w:lineRule="auto"/>
        <w:jc w:val="center"/>
        <w:rPr>
          <w:rFonts w:hint="eastAsia" w:ascii="宋体" w:hAnsi="宋体"/>
          <w:b/>
          <w:spacing w:val="-20"/>
          <w:sz w:val="44"/>
          <w:szCs w:val="44"/>
        </w:rPr>
      </w:pPr>
      <w:r>
        <w:rPr>
          <w:rFonts w:hint="eastAsia" w:ascii="宋体" w:hAnsi="宋体"/>
          <w:b/>
          <w:spacing w:val="-20"/>
          <w:sz w:val="44"/>
          <w:szCs w:val="44"/>
        </w:rPr>
        <w:t>贵州省习水县二郎煤炭矿区总体规划（修编）</w:t>
      </w:r>
    </w:p>
    <w:p w14:paraId="0C0A150F">
      <w:pPr>
        <w:adjustRightInd w:val="0"/>
        <w:snapToGrid w:val="0"/>
        <w:spacing w:line="360" w:lineRule="auto"/>
        <w:jc w:val="center"/>
        <w:rPr>
          <w:rFonts w:hint="eastAsia" w:ascii="宋体" w:hAnsi="宋体"/>
          <w:b/>
          <w:bCs/>
          <w:spacing w:val="70"/>
          <w:sz w:val="80"/>
          <w:szCs w:val="80"/>
        </w:rPr>
      </w:pPr>
      <w:r>
        <w:rPr>
          <w:rFonts w:hint="eastAsia" w:ascii="宋体" w:hAnsi="宋体"/>
          <w:b/>
          <w:bCs/>
          <w:spacing w:val="70"/>
          <w:sz w:val="80"/>
          <w:szCs w:val="80"/>
        </w:rPr>
        <w:t>环境影响报告书</w:t>
      </w:r>
    </w:p>
    <w:p w14:paraId="00B2D3C3">
      <w:pPr>
        <w:snapToGrid w:val="0"/>
        <w:spacing w:line="460" w:lineRule="atLeast"/>
        <w:jc w:val="center"/>
        <w:rPr>
          <w:rFonts w:hint="eastAsia" w:ascii="宋体" w:hAnsi="宋体"/>
          <w:b/>
          <w:sz w:val="44"/>
          <w:szCs w:val="44"/>
        </w:rPr>
      </w:pPr>
      <w:r>
        <w:rPr>
          <w:rFonts w:hint="eastAsia" w:ascii="宋体" w:hAnsi="宋体"/>
          <w:b/>
          <w:sz w:val="44"/>
          <w:szCs w:val="44"/>
        </w:rPr>
        <w:t>（征求意见稿）</w:t>
      </w:r>
    </w:p>
    <w:p w14:paraId="475820F9">
      <w:pPr>
        <w:spacing w:before="312" w:beforeLines="100" w:after="312" w:afterLines="100"/>
        <w:ind w:firstLine="76" w:firstLineChars="27"/>
        <w:jc w:val="center"/>
        <w:rPr>
          <w:rFonts w:hint="eastAsia" w:ascii="微软雅黑" w:hAnsi="微软雅黑" w:eastAsia="微软雅黑"/>
          <w:b/>
          <w:bCs/>
          <w:sz w:val="28"/>
          <w:szCs w:val="28"/>
        </w:rPr>
      </w:pPr>
    </w:p>
    <w:p w14:paraId="397CF137">
      <w:pPr>
        <w:spacing w:before="312" w:beforeLines="100" w:after="312" w:afterLines="100"/>
        <w:ind w:firstLine="76" w:firstLineChars="27"/>
        <w:jc w:val="center"/>
        <w:rPr>
          <w:rFonts w:hint="eastAsia" w:ascii="微软雅黑" w:hAnsi="微软雅黑" w:eastAsia="微软雅黑"/>
          <w:b/>
          <w:bCs/>
          <w:sz w:val="28"/>
          <w:szCs w:val="28"/>
        </w:rPr>
      </w:pPr>
    </w:p>
    <w:p w14:paraId="483BE38A">
      <w:pPr>
        <w:spacing w:before="312" w:beforeLines="100" w:after="312" w:afterLines="100"/>
        <w:ind w:firstLine="76" w:firstLineChars="27"/>
        <w:jc w:val="center"/>
        <w:rPr>
          <w:rFonts w:hint="eastAsia" w:ascii="微软雅黑" w:hAnsi="微软雅黑" w:eastAsia="微软雅黑"/>
          <w:b/>
          <w:bCs/>
          <w:sz w:val="28"/>
          <w:szCs w:val="28"/>
        </w:rPr>
      </w:pPr>
    </w:p>
    <w:p w14:paraId="3B493D0A">
      <w:pPr>
        <w:spacing w:before="312" w:beforeLines="100" w:after="312" w:afterLines="100"/>
        <w:ind w:firstLine="56" w:firstLineChars="27"/>
        <w:jc w:val="center"/>
      </w:pPr>
    </w:p>
    <w:p w14:paraId="403278B3">
      <w:pPr>
        <w:spacing w:before="312" w:beforeLines="100" w:after="312" w:afterLines="100"/>
        <w:ind w:firstLine="76" w:firstLineChars="27"/>
        <w:jc w:val="center"/>
        <w:rPr>
          <w:rFonts w:hint="eastAsia" w:ascii="微软雅黑" w:hAnsi="微软雅黑" w:eastAsia="微软雅黑"/>
          <w:b/>
          <w:bCs/>
          <w:sz w:val="28"/>
          <w:szCs w:val="28"/>
        </w:rPr>
      </w:pPr>
    </w:p>
    <w:p w14:paraId="594C8484">
      <w:pPr>
        <w:spacing w:before="312" w:beforeLines="100" w:after="312" w:afterLines="100"/>
        <w:ind w:firstLine="76" w:firstLineChars="27"/>
        <w:jc w:val="center"/>
        <w:rPr>
          <w:rFonts w:hint="eastAsia" w:ascii="微软雅黑" w:hAnsi="微软雅黑" w:eastAsia="微软雅黑"/>
          <w:b/>
          <w:bCs/>
          <w:sz w:val="28"/>
          <w:szCs w:val="28"/>
        </w:rPr>
      </w:pPr>
    </w:p>
    <w:p w14:paraId="3C6DC739">
      <w:pPr>
        <w:spacing w:before="312" w:beforeLines="100" w:after="312" w:afterLines="100"/>
        <w:ind w:firstLine="76" w:firstLineChars="27"/>
        <w:jc w:val="center"/>
        <w:rPr>
          <w:rFonts w:hint="eastAsia" w:ascii="微软雅黑" w:hAnsi="微软雅黑" w:eastAsia="微软雅黑"/>
          <w:b/>
          <w:bCs/>
          <w:sz w:val="28"/>
          <w:szCs w:val="28"/>
        </w:rPr>
      </w:pPr>
    </w:p>
    <w:p w14:paraId="00B3DC73">
      <w:pPr>
        <w:adjustRightInd w:val="0"/>
        <w:snapToGrid w:val="0"/>
        <w:spacing w:line="360" w:lineRule="auto"/>
        <w:ind w:left="-124" w:leftChars="-59" w:right="-292" w:rightChars="-139"/>
        <w:jc w:val="left"/>
        <w:rPr>
          <w:b/>
          <w:spacing w:val="-2"/>
          <w:sz w:val="32"/>
          <w:szCs w:val="28"/>
        </w:rPr>
      </w:pPr>
      <w:r>
        <w:rPr>
          <w:rFonts w:hint="eastAsia"/>
          <w:b/>
          <w:spacing w:val="-2"/>
          <w:sz w:val="32"/>
          <w:szCs w:val="28"/>
        </w:rPr>
        <w:t>规划组织实施单位：习水县工业能源和科学技术局</w:t>
      </w:r>
    </w:p>
    <w:p w14:paraId="5B8EEE2A">
      <w:pPr>
        <w:adjustRightInd w:val="0"/>
        <w:snapToGrid w:val="0"/>
        <w:spacing w:line="360" w:lineRule="auto"/>
        <w:ind w:left="-124" w:leftChars="-59" w:right="-292" w:rightChars="-139"/>
        <w:jc w:val="left"/>
        <w:rPr>
          <w:b/>
          <w:spacing w:val="-2"/>
          <w:sz w:val="32"/>
          <w:szCs w:val="28"/>
        </w:rPr>
      </w:pPr>
      <w:r>
        <w:rPr>
          <w:rFonts w:hint="eastAsia"/>
          <w:b/>
          <w:spacing w:val="-2"/>
          <w:sz w:val="32"/>
          <w:szCs w:val="28"/>
        </w:rPr>
        <w:t>规划方案编制单位：煤炭工业石家庄设计研究院有限公司</w:t>
      </w:r>
    </w:p>
    <w:p w14:paraId="08F87943">
      <w:pPr>
        <w:adjustRightInd w:val="0"/>
        <w:snapToGrid w:val="0"/>
        <w:spacing w:line="360" w:lineRule="auto"/>
        <w:ind w:left="-124" w:leftChars="-59" w:right="-292" w:rightChars="-139"/>
        <w:jc w:val="left"/>
        <w:rPr>
          <w:b/>
          <w:spacing w:val="-2"/>
          <w:sz w:val="32"/>
          <w:szCs w:val="32"/>
        </w:rPr>
      </w:pPr>
      <w:r>
        <w:rPr>
          <w:rFonts w:hint="eastAsia"/>
          <w:b/>
          <w:spacing w:val="-2"/>
          <w:sz w:val="32"/>
          <w:szCs w:val="28"/>
        </w:rPr>
        <w:t>规划环评编制单位：贵州乾辰通达工程咨询有限公司</w:t>
      </w:r>
    </w:p>
    <w:p w14:paraId="17665B2D">
      <w:pPr>
        <w:tabs>
          <w:tab w:val="center" w:pos="4365"/>
          <w:tab w:val="left" w:pos="7650"/>
        </w:tabs>
        <w:spacing w:line="360" w:lineRule="auto"/>
        <w:jc w:val="left"/>
        <w:rPr>
          <w:b/>
          <w:sz w:val="28"/>
          <w:szCs w:val="28"/>
        </w:rPr>
      </w:pPr>
      <w:r>
        <w:rPr>
          <w:b/>
          <w:sz w:val="28"/>
          <w:szCs w:val="28"/>
        </w:rPr>
        <w:tab/>
      </w:r>
      <w:r>
        <w:rPr>
          <w:rFonts w:hint="eastAsia"/>
          <w:b/>
          <w:sz w:val="28"/>
          <w:szCs w:val="28"/>
        </w:rPr>
        <w:t>二零二</w:t>
      </w:r>
      <w:r>
        <w:rPr>
          <w:rFonts w:hint="eastAsia"/>
          <w:b/>
          <w:sz w:val="28"/>
          <w:szCs w:val="28"/>
          <w:lang w:eastAsia="zh-CN"/>
        </w:rPr>
        <w:t>五</w:t>
      </w:r>
      <w:r>
        <w:rPr>
          <w:rFonts w:hint="eastAsia"/>
          <w:b/>
          <w:sz w:val="28"/>
          <w:szCs w:val="28"/>
        </w:rPr>
        <w:t>年</w:t>
      </w:r>
      <w:r>
        <w:rPr>
          <w:rFonts w:hint="eastAsia"/>
          <w:b/>
          <w:sz w:val="28"/>
          <w:szCs w:val="28"/>
          <w:lang w:eastAsia="zh-CN"/>
        </w:rPr>
        <w:t>三</w:t>
      </w:r>
      <w:r>
        <w:rPr>
          <w:rFonts w:hint="eastAsia"/>
          <w:b/>
          <w:sz w:val="28"/>
          <w:szCs w:val="28"/>
        </w:rPr>
        <w:t>月</w:t>
      </w:r>
      <w:r>
        <w:rPr>
          <w:b/>
          <w:sz w:val="28"/>
          <w:szCs w:val="28"/>
        </w:rPr>
        <w:tab/>
      </w:r>
    </w:p>
    <w:p w14:paraId="0DCB2892">
      <w:pPr>
        <w:widowControl/>
        <w:jc w:val="center"/>
        <w:rPr>
          <w:rFonts w:hint="eastAsia" w:ascii="宋体" w:hAnsi="宋体"/>
          <w:b/>
          <w:bCs/>
          <w:color w:val="4E4E4E"/>
          <w:sz w:val="28"/>
          <w:szCs w:val="32"/>
          <w:shd w:val="clear" w:color="auto" w:fill="FFFFFF"/>
        </w:rPr>
      </w:pPr>
      <w:r>
        <w:rPr>
          <w:rFonts w:ascii="宋体" w:hAnsi="宋体"/>
          <w:b/>
          <w:bCs/>
          <w:color w:val="4E4E4E"/>
          <w:sz w:val="28"/>
          <w:szCs w:val="32"/>
          <w:shd w:val="clear" w:color="auto" w:fill="FFFFFF"/>
        </w:rPr>
        <w:br w:type="page"/>
      </w:r>
    </w:p>
    <w:sdt>
      <w:sdtPr>
        <w:rPr>
          <w:rFonts w:ascii="Times New Roman" w:hAnsi="Times New Roman" w:eastAsia="宋体" w:cs="Times New Roman"/>
          <w:color w:val="auto"/>
          <w:kern w:val="2"/>
          <w:sz w:val="21"/>
          <w:szCs w:val="22"/>
          <w:lang w:val="zh-CN"/>
        </w:rPr>
        <w:id w:val="822937766"/>
        <w:docPartObj>
          <w:docPartGallery w:val="Table of Contents"/>
          <w:docPartUnique/>
        </w:docPartObj>
      </w:sdtPr>
      <w:sdtEndPr>
        <w:rPr>
          <w:rFonts w:ascii="Times New Roman" w:hAnsi="Times New Roman" w:eastAsia="宋体" w:cs="Times New Roman"/>
          <w:b/>
          <w:bCs/>
          <w:color w:val="auto"/>
          <w:kern w:val="2"/>
          <w:sz w:val="21"/>
          <w:szCs w:val="22"/>
          <w:lang w:val="zh-CN"/>
        </w:rPr>
      </w:sdtEndPr>
      <w:sdtContent>
        <w:p w14:paraId="60319FC4">
          <w:pPr>
            <w:pStyle w:val="14"/>
            <w:jc w:val="center"/>
            <w:rPr>
              <w:rFonts w:hint="eastAsia"/>
              <w:color w:val="auto"/>
            </w:rPr>
          </w:pPr>
          <w:r>
            <w:rPr>
              <w:color w:val="auto"/>
              <w:lang w:val="zh-CN"/>
            </w:rPr>
            <w:t>目录</w:t>
          </w:r>
        </w:p>
        <w:p w14:paraId="6EA12A44">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TOC \o "1-3" \h \z \u </w:instrText>
          </w:r>
          <w:r>
            <w:fldChar w:fldCharType="separate"/>
          </w:r>
          <w:r>
            <w:fldChar w:fldCharType="begin"/>
          </w:r>
          <w:r>
            <w:instrText xml:space="preserve"> HYPERLINK \l "_Toc179298773" </w:instrText>
          </w:r>
          <w:r>
            <w:fldChar w:fldCharType="separate"/>
          </w:r>
          <w:r>
            <w:rPr>
              <w:rStyle w:val="10"/>
              <w:rFonts w:hint="eastAsia"/>
            </w:rPr>
            <w:t>1.规划概况</w:t>
          </w:r>
          <w:r>
            <w:rPr>
              <w:rFonts w:hint="eastAsia"/>
            </w:rPr>
            <w:tab/>
          </w:r>
          <w:r>
            <w:rPr>
              <w:rFonts w:hint="eastAsia"/>
            </w:rPr>
            <w:fldChar w:fldCharType="begin"/>
          </w:r>
          <w:r>
            <w:rPr>
              <w:rFonts w:hint="eastAsia"/>
            </w:rPr>
            <w:instrText xml:space="preserve"> </w:instrText>
          </w:r>
          <w:r>
            <w:instrText xml:space="preserve">PAGEREF _Toc179298773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D876773">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"_Toc179298774" </w:instrText>
          </w:r>
          <w:r>
            <w:fldChar w:fldCharType="separate"/>
          </w:r>
          <w:r>
            <w:rPr>
              <w:rStyle w:val="10"/>
              <w:rFonts w:hint="eastAsia"/>
            </w:rPr>
            <w:t>1.1规划修编背景</w:t>
          </w:r>
          <w:r>
            <w:rPr>
              <w:rFonts w:hint="eastAsia"/>
            </w:rPr>
            <w:tab/>
          </w:r>
          <w:r>
            <w:rPr>
              <w:rFonts w:hint="eastAsia"/>
            </w:rPr>
            <w:fldChar w:fldCharType="begin"/>
          </w:r>
          <w:r>
            <w:rPr>
              <w:rFonts w:hint="eastAsia"/>
            </w:rPr>
            <w:instrText xml:space="preserve"> </w:instrText>
          </w:r>
          <w:r>
            <w:instrText xml:space="preserve">PAGEREF _Toc179298774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A127BC8">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"_Toc179298775" </w:instrText>
          </w:r>
          <w:r>
            <w:fldChar w:fldCharType="separate"/>
          </w:r>
          <w:r>
            <w:rPr>
              <w:rStyle w:val="10"/>
              <w:rFonts w:hint="eastAsia"/>
            </w:rPr>
            <w:t>1.2规划修编范围</w:t>
          </w:r>
          <w:r>
            <w:rPr>
              <w:rFonts w:hint="eastAsia"/>
            </w:rPr>
            <w:tab/>
          </w:r>
          <w:r>
            <w:rPr>
              <w:rFonts w:hint="eastAsia"/>
            </w:rPr>
            <w:fldChar w:fldCharType="begin"/>
          </w:r>
          <w:r>
            <w:rPr>
              <w:rFonts w:hint="eastAsia"/>
            </w:rPr>
            <w:instrText xml:space="preserve"> </w:instrText>
          </w:r>
          <w:r>
            <w:instrText xml:space="preserve">PAGEREF _Toc179298775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7CD17699">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"_Toc179298776" </w:instrText>
          </w:r>
          <w:r>
            <w:fldChar w:fldCharType="separate"/>
          </w:r>
          <w:r>
            <w:rPr>
              <w:rStyle w:val="10"/>
              <w:rFonts w:hint="eastAsia"/>
            </w:rPr>
            <w:t>1.3规划矿区修编后服务年限</w:t>
          </w:r>
          <w:r>
            <w:rPr>
              <w:rFonts w:hint="eastAsia"/>
            </w:rPr>
            <w:tab/>
          </w:r>
          <w:r>
            <w:rPr>
              <w:rFonts w:hint="eastAsia"/>
            </w:rPr>
            <w:fldChar w:fldCharType="begin"/>
          </w:r>
          <w:r>
            <w:rPr>
              <w:rFonts w:hint="eastAsia"/>
            </w:rPr>
            <w:instrText xml:space="preserve"> </w:instrText>
          </w:r>
          <w:r>
            <w:instrText xml:space="preserve">PAGEREF _Toc179298776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4EA7215">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"_Toc179298777" </w:instrText>
          </w:r>
          <w:r>
            <w:fldChar w:fldCharType="separate"/>
          </w:r>
          <w:r>
            <w:rPr>
              <w:rStyle w:val="10"/>
              <w:rFonts w:hint="eastAsia"/>
            </w:rPr>
            <w:t>1.4规划修编建设方案</w:t>
          </w:r>
          <w:r>
            <w:rPr>
              <w:rFonts w:hint="eastAsia"/>
            </w:rPr>
            <w:tab/>
          </w:r>
          <w:r>
            <w:rPr>
              <w:rFonts w:hint="eastAsia"/>
            </w:rPr>
            <w:fldChar w:fldCharType="begin"/>
          </w:r>
          <w:r>
            <w:rPr>
              <w:rFonts w:hint="eastAsia"/>
            </w:rPr>
            <w:instrText xml:space="preserve"> </w:instrText>
          </w:r>
          <w:r>
            <w:instrText xml:space="preserve">PAGEREF _Toc179298777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3CB6C54">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"_Toc179298778" </w:instrText>
          </w:r>
          <w:r>
            <w:fldChar w:fldCharType="separate"/>
          </w:r>
          <w:r>
            <w:rPr>
              <w:rStyle w:val="10"/>
              <w:rFonts w:hint="eastAsia"/>
            </w:rPr>
            <w:t>1.5规划修编其他利用规划</w:t>
          </w:r>
          <w:r>
            <w:rPr>
              <w:rFonts w:hint="eastAsia"/>
            </w:rPr>
            <w:tab/>
          </w:r>
          <w:r>
            <w:rPr>
              <w:rFonts w:hint="eastAsia"/>
            </w:rPr>
            <w:fldChar w:fldCharType="begin"/>
          </w:r>
          <w:r>
            <w:rPr>
              <w:rFonts w:hint="eastAsia"/>
            </w:rPr>
            <w:instrText xml:space="preserve"> </w:instrText>
          </w:r>
          <w:r>
            <w:instrText xml:space="preserve">PAGEREF _Toc179298778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E08349E">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"_Toc179298779" </w:instrText>
          </w:r>
          <w:r>
            <w:fldChar w:fldCharType="separate"/>
          </w:r>
          <w:r>
            <w:rPr>
              <w:rStyle w:val="10"/>
              <w:rFonts w:hint="eastAsia"/>
            </w:rPr>
            <w:t>2.区域主要环境敏感目标及环境质量</w:t>
          </w:r>
          <w:r>
            <w:rPr>
              <w:rFonts w:hint="eastAsia"/>
            </w:rPr>
            <w:tab/>
          </w:r>
          <w:r>
            <w:rPr>
              <w:rFonts w:hint="eastAsia"/>
            </w:rPr>
            <w:fldChar w:fldCharType="begin"/>
          </w:r>
          <w:r>
            <w:rPr>
              <w:rFonts w:hint="eastAsia"/>
            </w:rPr>
            <w:instrText xml:space="preserve"> </w:instrText>
          </w:r>
          <w:r>
            <w:instrText xml:space="preserve">PAGEREF _Toc179298779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53094C67">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"_Toc179298780" </w:instrText>
          </w:r>
          <w:r>
            <w:fldChar w:fldCharType="separate"/>
          </w:r>
          <w:r>
            <w:rPr>
              <w:rStyle w:val="10"/>
              <w:rFonts w:hint="eastAsia"/>
            </w:rPr>
            <w:t>2.1环境敏感区及环境保护目标</w:t>
          </w:r>
          <w:r>
            <w:rPr>
              <w:rFonts w:hint="eastAsia"/>
            </w:rPr>
            <w:tab/>
          </w:r>
          <w:r>
            <w:rPr>
              <w:rFonts w:hint="eastAsia"/>
            </w:rPr>
            <w:fldChar w:fldCharType="begin"/>
          </w:r>
          <w:r>
            <w:rPr>
              <w:rFonts w:hint="eastAsia"/>
            </w:rPr>
            <w:instrText xml:space="preserve"> </w:instrText>
          </w:r>
          <w:r>
            <w:instrText xml:space="preserve">PAGEREF _Toc179298780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8887E44">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"_Toc179298781" </w:instrText>
          </w:r>
          <w:r>
            <w:fldChar w:fldCharType="separate"/>
          </w:r>
          <w:r>
            <w:rPr>
              <w:rStyle w:val="10"/>
              <w:rFonts w:hint="eastAsia"/>
            </w:rPr>
            <w:t>2.2矿区所在区域环境概况</w:t>
          </w:r>
          <w:r>
            <w:rPr>
              <w:rFonts w:hint="eastAsia"/>
            </w:rPr>
            <w:tab/>
          </w:r>
          <w:r>
            <w:rPr>
              <w:rFonts w:hint="eastAsia"/>
            </w:rPr>
            <w:fldChar w:fldCharType="begin"/>
          </w:r>
          <w:r>
            <w:rPr>
              <w:rFonts w:hint="eastAsia"/>
            </w:rPr>
            <w:instrText xml:space="preserve"> </w:instrText>
          </w:r>
          <w:r>
            <w:instrText xml:space="preserve">PAGEREF _Toc179298781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73D17FA">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"_Toc179298782" </w:instrText>
          </w:r>
          <w:r>
            <w:fldChar w:fldCharType="separate"/>
          </w:r>
          <w:r>
            <w:rPr>
              <w:rStyle w:val="10"/>
              <w:rFonts w:hint="eastAsia"/>
            </w:rPr>
            <w:t>2.2.1环境空气质量</w:t>
          </w:r>
          <w:r>
            <w:rPr>
              <w:rFonts w:hint="eastAsia"/>
            </w:rPr>
            <w:tab/>
          </w:r>
          <w:r>
            <w:rPr>
              <w:rFonts w:hint="eastAsia"/>
            </w:rPr>
            <w:fldChar w:fldCharType="begin"/>
          </w:r>
          <w:r>
            <w:rPr>
              <w:rFonts w:hint="eastAsia"/>
            </w:rPr>
            <w:instrText xml:space="preserve"> </w:instrText>
          </w:r>
          <w:r>
            <w:instrText xml:space="preserve">PAGEREF _Toc179298782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2E3BDDCB">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"_Toc179298783" </w:instrText>
          </w:r>
          <w:r>
            <w:fldChar w:fldCharType="separate"/>
          </w:r>
          <w:r>
            <w:rPr>
              <w:rStyle w:val="10"/>
              <w:rFonts w:hint="eastAsia"/>
            </w:rPr>
            <w:t>2.2.2地表水环境质量</w:t>
          </w:r>
          <w:r>
            <w:rPr>
              <w:rFonts w:hint="eastAsia"/>
            </w:rPr>
            <w:tab/>
          </w:r>
          <w:r>
            <w:rPr>
              <w:rFonts w:hint="eastAsia"/>
            </w:rPr>
            <w:fldChar w:fldCharType="begin"/>
          </w:r>
          <w:r>
            <w:rPr>
              <w:rFonts w:hint="eastAsia"/>
            </w:rPr>
            <w:instrText xml:space="preserve"> </w:instrText>
          </w:r>
          <w:r>
            <w:instrText xml:space="preserve">PAGEREF _Toc179298783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444E4166">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"_Toc179298784" </w:instrText>
          </w:r>
          <w:r>
            <w:fldChar w:fldCharType="separate"/>
          </w:r>
          <w:r>
            <w:rPr>
              <w:rStyle w:val="10"/>
              <w:rFonts w:hint="eastAsia"/>
            </w:rPr>
            <w:t>2.2.3地下水环境质量</w:t>
          </w:r>
          <w:r>
            <w:rPr>
              <w:rFonts w:hint="eastAsia"/>
            </w:rPr>
            <w:tab/>
          </w:r>
          <w:r>
            <w:rPr>
              <w:rFonts w:hint="eastAsia"/>
            </w:rPr>
            <w:fldChar w:fldCharType="begin"/>
          </w:r>
          <w:r>
            <w:rPr>
              <w:rFonts w:hint="eastAsia"/>
            </w:rPr>
            <w:instrText xml:space="preserve"> </w:instrText>
          </w:r>
          <w:r>
            <w:instrText xml:space="preserve">PAGEREF _Toc179298784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25CFB57E">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"_Toc179298785" </w:instrText>
          </w:r>
          <w:r>
            <w:fldChar w:fldCharType="separate"/>
          </w:r>
          <w:r>
            <w:rPr>
              <w:rStyle w:val="10"/>
              <w:rFonts w:hint="eastAsia"/>
            </w:rPr>
            <w:t>2.2.4声环境质量</w:t>
          </w:r>
          <w:r>
            <w:rPr>
              <w:rFonts w:hint="eastAsia"/>
            </w:rPr>
            <w:tab/>
          </w:r>
          <w:r>
            <w:rPr>
              <w:rFonts w:hint="eastAsia"/>
            </w:rPr>
            <w:fldChar w:fldCharType="begin"/>
          </w:r>
          <w:r>
            <w:rPr>
              <w:rFonts w:hint="eastAsia"/>
            </w:rPr>
            <w:instrText xml:space="preserve"> </w:instrText>
          </w:r>
          <w:r>
            <w:instrText xml:space="preserve">PAGEREF _Toc179298785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C4F062B">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"_Toc179298786" </w:instrText>
          </w:r>
          <w:r>
            <w:fldChar w:fldCharType="separate"/>
          </w:r>
          <w:r>
            <w:rPr>
              <w:rStyle w:val="10"/>
              <w:rFonts w:hint="eastAsia"/>
            </w:rPr>
            <w:t>2.2.5土壤环境</w:t>
          </w:r>
          <w:r>
            <w:rPr>
              <w:rFonts w:hint="eastAsia"/>
            </w:rPr>
            <w:tab/>
          </w:r>
          <w:r>
            <w:rPr>
              <w:rFonts w:hint="eastAsia"/>
            </w:rPr>
            <w:fldChar w:fldCharType="begin"/>
          </w:r>
          <w:r>
            <w:rPr>
              <w:rFonts w:hint="eastAsia"/>
            </w:rPr>
            <w:instrText xml:space="preserve"> </w:instrText>
          </w:r>
          <w:r>
            <w:instrText xml:space="preserve">PAGEREF _Toc179298786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E750B8C">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"_Toc179298787" </w:instrText>
          </w:r>
          <w:r>
            <w:fldChar w:fldCharType="separate"/>
          </w:r>
          <w:r>
            <w:rPr>
              <w:rStyle w:val="10"/>
              <w:rFonts w:hint="eastAsia"/>
            </w:rPr>
            <w:t>2.3生态环境现状</w:t>
          </w:r>
          <w:r>
            <w:rPr>
              <w:rFonts w:hint="eastAsia"/>
            </w:rPr>
            <w:tab/>
          </w:r>
          <w:r>
            <w:rPr>
              <w:rFonts w:hint="eastAsia"/>
            </w:rPr>
            <w:fldChar w:fldCharType="begin"/>
          </w:r>
          <w:r>
            <w:rPr>
              <w:rFonts w:hint="eastAsia"/>
            </w:rPr>
            <w:instrText xml:space="preserve"> </w:instrText>
          </w:r>
          <w:r>
            <w:instrText xml:space="preserve">PAGEREF _Toc179298787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74C1A708">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"_Toc179298788" </w:instrText>
          </w:r>
          <w:r>
            <w:fldChar w:fldCharType="separate"/>
          </w:r>
          <w:r>
            <w:rPr>
              <w:rStyle w:val="10"/>
              <w:rFonts w:hint="eastAsia"/>
            </w:rPr>
            <w:t>2.4“三线一单”符合性</w:t>
          </w:r>
          <w:r>
            <w:rPr>
              <w:rFonts w:hint="eastAsia"/>
            </w:rPr>
            <w:tab/>
          </w:r>
          <w:r>
            <w:rPr>
              <w:rFonts w:hint="eastAsia"/>
            </w:rPr>
            <w:fldChar w:fldCharType="begin"/>
          </w:r>
          <w:r>
            <w:rPr>
              <w:rFonts w:hint="eastAsia"/>
            </w:rPr>
            <w:instrText xml:space="preserve"> </w:instrText>
          </w:r>
          <w:r>
            <w:instrText xml:space="preserve">PAGEREF _Toc179298788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3956DE1A">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"_Toc179298789" </w:instrText>
          </w:r>
          <w:r>
            <w:fldChar w:fldCharType="separate"/>
          </w:r>
          <w:r>
            <w:rPr>
              <w:rStyle w:val="10"/>
              <w:rFonts w:hint="eastAsia"/>
            </w:rPr>
            <w:t>3 矿区开发现状及回顾性评价</w:t>
          </w:r>
          <w:r>
            <w:rPr>
              <w:rFonts w:hint="eastAsia"/>
            </w:rPr>
            <w:tab/>
          </w:r>
          <w:r>
            <w:rPr>
              <w:rFonts w:hint="eastAsia"/>
            </w:rPr>
            <w:fldChar w:fldCharType="begin"/>
          </w:r>
          <w:r>
            <w:rPr>
              <w:rFonts w:hint="eastAsia"/>
            </w:rPr>
            <w:instrText xml:space="preserve"> </w:instrText>
          </w:r>
          <w:r>
            <w:instrText xml:space="preserve">PAGEREF _Toc179298789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B3BB2F7">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"_Toc179298790" </w:instrText>
          </w:r>
          <w:r>
            <w:fldChar w:fldCharType="separate"/>
          </w:r>
          <w:r>
            <w:rPr>
              <w:rStyle w:val="10"/>
              <w:rFonts w:hint="eastAsia"/>
            </w:rPr>
            <w:t>3.1矿区开发现状</w:t>
          </w:r>
          <w:r>
            <w:rPr>
              <w:rFonts w:hint="eastAsia"/>
            </w:rPr>
            <w:tab/>
          </w:r>
          <w:r>
            <w:rPr>
              <w:rFonts w:hint="eastAsia"/>
            </w:rPr>
            <w:fldChar w:fldCharType="begin"/>
          </w:r>
          <w:r>
            <w:rPr>
              <w:rFonts w:hint="eastAsia"/>
            </w:rPr>
            <w:instrText xml:space="preserve"> </w:instrText>
          </w:r>
          <w:r>
            <w:instrText xml:space="preserve">PAGEREF _Toc179298790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CB11F0F">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"_Toc179298791" </w:instrText>
          </w:r>
          <w:r>
            <w:fldChar w:fldCharType="separate"/>
          </w:r>
          <w:r>
            <w:rPr>
              <w:rStyle w:val="10"/>
              <w:rFonts w:hint="eastAsia"/>
            </w:rPr>
            <w:t>3.2矿区开发环境影响回顾性评价</w:t>
          </w:r>
          <w:r>
            <w:rPr>
              <w:rFonts w:hint="eastAsia"/>
            </w:rPr>
            <w:tab/>
          </w:r>
          <w:r>
            <w:rPr>
              <w:rFonts w:hint="eastAsia"/>
            </w:rPr>
            <w:fldChar w:fldCharType="begin"/>
          </w:r>
          <w:r>
            <w:rPr>
              <w:rFonts w:hint="eastAsia"/>
            </w:rPr>
            <w:instrText xml:space="preserve"> </w:instrText>
          </w:r>
          <w:r>
            <w:instrText xml:space="preserve">PAGEREF _Toc179298791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2E8A03A">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"_Toc179298792" </w:instrText>
          </w:r>
          <w:r>
            <w:fldChar w:fldCharType="separate"/>
          </w:r>
          <w:r>
            <w:rPr>
              <w:rStyle w:val="10"/>
              <w:rFonts w:hint="eastAsia"/>
            </w:rPr>
            <w:t>3.2.1生态环境影响回顾性评价</w:t>
          </w:r>
          <w:r>
            <w:rPr>
              <w:rFonts w:hint="eastAsia"/>
            </w:rPr>
            <w:tab/>
          </w:r>
          <w:r>
            <w:rPr>
              <w:rFonts w:hint="eastAsia"/>
            </w:rPr>
            <w:fldChar w:fldCharType="begin"/>
          </w:r>
          <w:r>
            <w:rPr>
              <w:rFonts w:hint="eastAsia"/>
            </w:rPr>
            <w:instrText xml:space="preserve"> </w:instrText>
          </w:r>
          <w:r>
            <w:instrText xml:space="preserve">PAGEREF _Toc179298792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D4ED1AE">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"_Toc179298793" </w:instrText>
          </w:r>
          <w:r>
            <w:fldChar w:fldCharType="separate"/>
          </w:r>
          <w:r>
            <w:rPr>
              <w:rStyle w:val="10"/>
              <w:rFonts w:hint="eastAsia"/>
            </w:rPr>
            <w:t>3.2.2环境空气回顾性评价</w:t>
          </w:r>
          <w:r>
            <w:rPr>
              <w:rFonts w:hint="eastAsia"/>
            </w:rPr>
            <w:tab/>
          </w:r>
          <w:r>
            <w:rPr>
              <w:rFonts w:hint="eastAsia"/>
            </w:rPr>
            <w:fldChar w:fldCharType="begin"/>
          </w:r>
          <w:r>
            <w:rPr>
              <w:rFonts w:hint="eastAsia"/>
            </w:rPr>
            <w:instrText xml:space="preserve"> </w:instrText>
          </w:r>
          <w:r>
            <w:instrText xml:space="preserve">PAGEREF _Toc179298793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110B147F">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"_Toc179298794" </w:instrText>
          </w:r>
          <w:r>
            <w:fldChar w:fldCharType="separate"/>
          </w:r>
          <w:r>
            <w:rPr>
              <w:rStyle w:val="10"/>
              <w:rFonts w:hint="eastAsia"/>
            </w:rPr>
            <w:t>3.2.3地表水环境影响回顾性评价</w:t>
          </w:r>
          <w:r>
            <w:rPr>
              <w:rFonts w:hint="eastAsia"/>
            </w:rPr>
            <w:tab/>
          </w:r>
          <w:r>
            <w:rPr>
              <w:rFonts w:hint="eastAsia"/>
            </w:rPr>
            <w:fldChar w:fldCharType="begin"/>
          </w:r>
          <w:r>
            <w:rPr>
              <w:rFonts w:hint="eastAsia"/>
            </w:rPr>
            <w:instrText xml:space="preserve"> </w:instrText>
          </w:r>
          <w:r>
            <w:instrText xml:space="preserve">PAGEREF _Toc179298794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1246CEF">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"_Toc179298795" </w:instrText>
          </w:r>
          <w:r>
            <w:fldChar w:fldCharType="separate"/>
          </w:r>
          <w:r>
            <w:rPr>
              <w:rStyle w:val="10"/>
              <w:rFonts w:hint="eastAsia"/>
            </w:rPr>
            <w:t>3.2.4地下水环境影响回顾性评价</w:t>
          </w:r>
          <w:r>
            <w:rPr>
              <w:rFonts w:hint="eastAsia"/>
            </w:rPr>
            <w:tab/>
          </w:r>
          <w:r>
            <w:rPr>
              <w:rFonts w:hint="eastAsia"/>
            </w:rPr>
            <w:fldChar w:fldCharType="begin"/>
          </w:r>
          <w:r>
            <w:rPr>
              <w:rFonts w:hint="eastAsia"/>
            </w:rPr>
            <w:instrText xml:space="preserve"> </w:instrText>
          </w:r>
          <w:r>
            <w:instrText xml:space="preserve">PAGEREF _Toc179298795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0748677A">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"_Toc179298796" </w:instrText>
          </w:r>
          <w:r>
            <w:fldChar w:fldCharType="separate"/>
          </w:r>
          <w:r>
            <w:rPr>
              <w:rStyle w:val="10"/>
              <w:rFonts w:hint="eastAsia"/>
            </w:rPr>
            <w:t>3.2.6声环境影响回顾性评价</w:t>
          </w:r>
          <w:r>
            <w:rPr>
              <w:rFonts w:hint="eastAsia"/>
            </w:rPr>
            <w:tab/>
          </w:r>
          <w:r>
            <w:rPr>
              <w:rFonts w:hint="eastAsia"/>
            </w:rPr>
            <w:fldChar w:fldCharType="begin"/>
          </w:r>
          <w:r>
            <w:rPr>
              <w:rFonts w:hint="eastAsia"/>
            </w:rPr>
            <w:instrText xml:space="preserve"> </w:instrText>
          </w:r>
          <w:r>
            <w:instrText xml:space="preserve">PAGEREF _Toc179298796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60D90718">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"_Toc179298797" </w:instrText>
          </w:r>
          <w:r>
            <w:fldChar w:fldCharType="separate"/>
          </w:r>
          <w:r>
            <w:rPr>
              <w:rStyle w:val="10"/>
              <w:rFonts w:hint="eastAsia"/>
            </w:rPr>
            <w:t>3.2.7固体废物环境影响回顾性评价</w:t>
          </w:r>
          <w:r>
            <w:rPr>
              <w:rFonts w:hint="eastAsia"/>
            </w:rPr>
            <w:tab/>
          </w:r>
          <w:r>
            <w:rPr>
              <w:rFonts w:hint="eastAsia"/>
            </w:rPr>
            <w:fldChar w:fldCharType="begin"/>
          </w:r>
          <w:r>
            <w:rPr>
              <w:rFonts w:hint="eastAsia"/>
            </w:rPr>
            <w:instrText xml:space="preserve"> </w:instrText>
          </w:r>
          <w:r>
            <w:instrText xml:space="preserve">PAGEREF _Toc179298797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14CF32C3">
          <w:pPr>
            <w:pStyle w:val="3"/>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"_Toc179298798" </w:instrText>
          </w:r>
          <w:r>
            <w:fldChar w:fldCharType="separate"/>
          </w:r>
          <w:r>
            <w:rPr>
              <w:rStyle w:val="10"/>
              <w:rFonts w:hint="eastAsia"/>
            </w:rPr>
            <w:t>3.2.8土壤环境影响回顾性评价</w:t>
          </w:r>
          <w:r>
            <w:rPr>
              <w:rFonts w:hint="eastAsia"/>
            </w:rPr>
            <w:tab/>
          </w:r>
          <w:r>
            <w:rPr>
              <w:rFonts w:hint="eastAsia"/>
            </w:rPr>
            <w:fldChar w:fldCharType="begin"/>
          </w:r>
          <w:r>
            <w:rPr>
              <w:rFonts w:hint="eastAsia"/>
            </w:rPr>
            <w:instrText xml:space="preserve"> </w:instrText>
          </w:r>
          <w:r>
            <w:instrText xml:space="preserve">PAGEREF _Toc179298798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7088CA76">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"_Toc179298799" </w:instrText>
          </w:r>
          <w:r>
            <w:fldChar w:fldCharType="separate"/>
          </w:r>
          <w:r>
            <w:rPr>
              <w:rStyle w:val="10"/>
              <w:rFonts w:hint="eastAsia"/>
            </w:rPr>
            <w:t>4 矿区规划修编方案实施环境影响及减缓措施</w:t>
          </w:r>
          <w:r>
            <w:rPr>
              <w:rFonts w:hint="eastAsia"/>
            </w:rPr>
            <w:tab/>
          </w:r>
          <w:r>
            <w:rPr>
              <w:rFonts w:hint="eastAsia"/>
            </w:rPr>
            <w:fldChar w:fldCharType="begin"/>
          </w:r>
          <w:r>
            <w:rPr>
              <w:rFonts w:hint="eastAsia"/>
            </w:rPr>
            <w:instrText xml:space="preserve"> </w:instrText>
          </w:r>
          <w:r>
            <w:instrText xml:space="preserve">PAGEREF _Toc179298799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71718EC3">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"_Toc179298800" </w:instrText>
          </w:r>
          <w:r>
            <w:fldChar w:fldCharType="separate"/>
          </w:r>
          <w:r>
            <w:rPr>
              <w:rStyle w:val="10"/>
              <w:rFonts w:hint="eastAsia"/>
            </w:rPr>
            <w:t>4.1矿区内地表沉陷影响分析</w:t>
          </w:r>
          <w:r>
            <w:rPr>
              <w:rFonts w:hint="eastAsia"/>
            </w:rPr>
            <w:tab/>
          </w:r>
          <w:r>
            <w:rPr>
              <w:rFonts w:hint="eastAsia"/>
            </w:rPr>
            <w:fldChar w:fldCharType="begin"/>
          </w:r>
          <w:r>
            <w:rPr>
              <w:rFonts w:hint="eastAsia"/>
            </w:rPr>
            <w:instrText xml:space="preserve"> </w:instrText>
          </w:r>
          <w:r>
            <w:instrText xml:space="preserve">PAGEREF _Toc179298800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2A051DC">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"_Toc179298801" </w:instrText>
          </w:r>
          <w:r>
            <w:fldChar w:fldCharType="separate"/>
          </w:r>
          <w:r>
            <w:rPr>
              <w:rStyle w:val="10"/>
              <w:rFonts w:hint="eastAsia"/>
            </w:rPr>
            <w:t>4.2生态环境影响分析</w:t>
          </w:r>
          <w:r>
            <w:rPr>
              <w:rFonts w:hint="eastAsia"/>
            </w:rPr>
            <w:tab/>
          </w:r>
          <w:r>
            <w:rPr>
              <w:rFonts w:hint="eastAsia"/>
            </w:rPr>
            <w:fldChar w:fldCharType="begin"/>
          </w:r>
          <w:r>
            <w:rPr>
              <w:rFonts w:hint="eastAsia"/>
            </w:rPr>
            <w:instrText xml:space="preserve"> </w:instrText>
          </w:r>
          <w:r>
            <w:instrText xml:space="preserve">PAGEREF _Toc179298801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78060714">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"_Toc179298802" </w:instrText>
          </w:r>
          <w:r>
            <w:fldChar w:fldCharType="separate"/>
          </w:r>
          <w:r>
            <w:rPr>
              <w:rStyle w:val="10"/>
              <w:rFonts w:hint="eastAsia"/>
            </w:rPr>
            <w:t>4.3大气环境影响分析</w:t>
          </w:r>
          <w:r>
            <w:rPr>
              <w:rFonts w:hint="eastAsia"/>
            </w:rPr>
            <w:tab/>
          </w:r>
          <w:r>
            <w:rPr>
              <w:rFonts w:hint="eastAsia"/>
            </w:rPr>
            <w:fldChar w:fldCharType="begin"/>
          </w:r>
          <w:r>
            <w:rPr>
              <w:rFonts w:hint="eastAsia"/>
            </w:rPr>
            <w:instrText xml:space="preserve"> </w:instrText>
          </w:r>
          <w:r>
            <w:instrText xml:space="preserve">PAGEREF _Toc179298802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7FA24C3E">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"_Toc179298803" </w:instrText>
          </w:r>
          <w:r>
            <w:fldChar w:fldCharType="separate"/>
          </w:r>
          <w:r>
            <w:rPr>
              <w:rStyle w:val="10"/>
              <w:rFonts w:hint="eastAsia"/>
            </w:rPr>
            <w:t>4.4地表水环境影响分析</w:t>
          </w:r>
          <w:r>
            <w:rPr>
              <w:rFonts w:hint="eastAsia"/>
            </w:rPr>
            <w:tab/>
          </w:r>
          <w:r>
            <w:rPr>
              <w:rFonts w:hint="eastAsia"/>
            </w:rPr>
            <w:fldChar w:fldCharType="begin"/>
          </w:r>
          <w:r>
            <w:rPr>
              <w:rFonts w:hint="eastAsia"/>
            </w:rPr>
            <w:instrText xml:space="preserve"> </w:instrText>
          </w:r>
          <w:r>
            <w:instrText xml:space="preserve">PAGEREF _Toc179298803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5D3047AA">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"_Toc179298804" </w:instrText>
          </w:r>
          <w:r>
            <w:fldChar w:fldCharType="separate"/>
          </w:r>
          <w:r>
            <w:rPr>
              <w:rStyle w:val="10"/>
              <w:rFonts w:hint="eastAsia"/>
            </w:rPr>
            <w:t>4.5地下水环境影响分析</w:t>
          </w:r>
          <w:r>
            <w:rPr>
              <w:rFonts w:hint="eastAsia"/>
            </w:rPr>
            <w:tab/>
          </w:r>
          <w:r>
            <w:rPr>
              <w:rFonts w:hint="eastAsia"/>
            </w:rPr>
            <w:fldChar w:fldCharType="begin"/>
          </w:r>
          <w:r>
            <w:rPr>
              <w:rFonts w:hint="eastAsia"/>
            </w:rPr>
            <w:instrText xml:space="preserve"> </w:instrText>
          </w:r>
          <w:r>
            <w:instrText xml:space="preserve">PAGEREF _Toc179298804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1088F333">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"_Toc179298805" </w:instrText>
          </w:r>
          <w:r>
            <w:fldChar w:fldCharType="separate"/>
          </w:r>
          <w:r>
            <w:rPr>
              <w:rStyle w:val="10"/>
              <w:rFonts w:hint="eastAsia"/>
            </w:rPr>
            <w:t>4.6土壤环境环境影响分析</w:t>
          </w:r>
          <w:r>
            <w:rPr>
              <w:rFonts w:hint="eastAsia"/>
            </w:rPr>
            <w:tab/>
          </w:r>
          <w:r>
            <w:rPr>
              <w:rFonts w:hint="eastAsia"/>
            </w:rPr>
            <w:fldChar w:fldCharType="begin"/>
          </w:r>
          <w:r>
            <w:rPr>
              <w:rFonts w:hint="eastAsia"/>
            </w:rPr>
            <w:instrText xml:space="preserve"> </w:instrText>
          </w:r>
          <w:r>
            <w:instrText xml:space="preserve">PAGEREF _Toc179298805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3B800490">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"_Toc179298806" </w:instrText>
          </w:r>
          <w:r>
            <w:fldChar w:fldCharType="separate"/>
          </w:r>
          <w:r>
            <w:rPr>
              <w:rStyle w:val="10"/>
              <w:rFonts w:hint="eastAsia"/>
            </w:rPr>
            <w:t>4.7声环境环境影响分析</w:t>
          </w:r>
          <w:r>
            <w:rPr>
              <w:rFonts w:hint="eastAsia"/>
            </w:rPr>
            <w:tab/>
          </w:r>
          <w:r>
            <w:rPr>
              <w:rFonts w:hint="eastAsia"/>
            </w:rPr>
            <w:fldChar w:fldCharType="begin"/>
          </w:r>
          <w:r>
            <w:rPr>
              <w:rFonts w:hint="eastAsia"/>
            </w:rPr>
            <w:instrText xml:space="preserve"> </w:instrText>
          </w:r>
          <w:r>
            <w:instrText xml:space="preserve">PAGEREF _Toc179298806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4657B6B4">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"_Toc179298807" </w:instrText>
          </w:r>
          <w:r>
            <w:fldChar w:fldCharType="separate"/>
          </w:r>
          <w:r>
            <w:rPr>
              <w:rStyle w:val="10"/>
              <w:rFonts w:hint="eastAsia"/>
            </w:rPr>
            <w:t>4.8固体废物环境影响分析</w:t>
          </w:r>
          <w:r>
            <w:rPr>
              <w:rFonts w:hint="eastAsia"/>
            </w:rPr>
            <w:tab/>
          </w:r>
          <w:r>
            <w:rPr>
              <w:rFonts w:hint="eastAsia"/>
            </w:rPr>
            <w:fldChar w:fldCharType="begin"/>
          </w:r>
          <w:r>
            <w:rPr>
              <w:rFonts w:hint="eastAsia"/>
            </w:rPr>
            <w:instrText xml:space="preserve"> </w:instrText>
          </w:r>
          <w:r>
            <w:instrText xml:space="preserve">PAGEREF _Toc179298807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18F20125">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"_Toc179298808" </w:instrText>
          </w:r>
          <w:r>
            <w:fldChar w:fldCharType="separate"/>
          </w:r>
          <w:r>
            <w:rPr>
              <w:rStyle w:val="10"/>
              <w:rFonts w:hint="eastAsia"/>
            </w:rPr>
            <w:t>5 矿区资源与环境承载力分析</w:t>
          </w:r>
          <w:r>
            <w:rPr>
              <w:rFonts w:hint="eastAsia"/>
            </w:rPr>
            <w:tab/>
          </w:r>
          <w:r>
            <w:rPr>
              <w:rFonts w:hint="eastAsia"/>
            </w:rPr>
            <w:fldChar w:fldCharType="begin"/>
          </w:r>
          <w:r>
            <w:rPr>
              <w:rFonts w:hint="eastAsia"/>
            </w:rPr>
            <w:instrText xml:space="preserve"> </w:instrText>
          </w:r>
          <w:r>
            <w:instrText xml:space="preserve">PAGEREF _Toc179298808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51A9A803">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"_Toc179298809" </w:instrText>
          </w:r>
          <w:r>
            <w:fldChar w:fldCharType="separate"/>
          </w:r>
          <w:r>
            <w:rPr>
              <w:rStyle w:val="10"/>
              <w:rFonts w:hint="eastAsia"/>
            </w:rPr>
            <w:t>5.1水资源消耗</w:t>
          </w:r>
          <w:r>
            <w:rPr>
              <w:rFonts w:hint="eastAsia"/>
            </w:rPr>
            <w:tab/>
          </w:r>
          <w:r>
            <w:rPr>
              <w:rFonts w:hint="eastAsia"/>
            </w:rPr>
            <w:fldChar w:fldCharType="begin"/>
          </w:r>
          <w:r>
            <w:rPr>
              <w:rFonts w:hint="eastAsia"/>
            </w:rPr>
            <w:instrText xml:space="preserve"> </w:instrText>
          </w:r>
          <w:r>
            <w:instrText xml:space="preserve">PAGEREF _Toc179298809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760AF1AB">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"_Toc179298810" </w:instrText>
          </w:r>
          <w:r>
            <w:fldChar w:fldCharType="separate"/>
          </w:r>
          <w:r>
            <w:rPr>
              <w:rStyle w:val="10"/>
              <w:rFonts w:hint="eastAsia"/>
            </w:rPr>
            <w:t>5.2水环境承载能力</w:t>
          </w:r>
          <w:r>
            <w:rPr>
              <w:rFonts w:hint="eastAsia"/>
            </w:rPr>
            <w:tab/>
          </w:r>
          <w:r>
            <w:rPr>
              <w:rFonts w:hint="eastAsia"/>
            </w:rPr>
            <w:fldChar w:fldCharType="begin"/>
          </w:r>
          <w:r>
            <w:rPr>
              <w:rFonts w:hint="eastAsia"/>
            </w:rPr>
            <w:instrText xml:space="preserve"> </w:instrText>
          </w:r>
          <w:r>
            <w:instrText xml:space="preserve">PAGEREF _Toc179298810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3C5E4E4E">
          <w:pPr>
            <w:pStyle w:val="7"/>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"_Toc179298811" </w:instrText>
          </w:r>
          <w:r>
            <w:fldChar w:fldCharType="separate"/>
          </w:r>
          <w:r>
            <w:rPr>
              <w:rStyle w:val="10"/>
              <w:rFonts w:hint="eastAsia"/>
            </w:rPr>
            <w:t>5.3大气环境承载能力</w:t>
          </w:r>
          <w:r>
            <w:rPr>
              <w:rFonts w:hint="eastAsia"/>
            </w:rPr>
            <w:tab/>
          </w:r>
          <w:r>
            <w:rPr>
              <w:rFonts w:hint="eastAsia"/>
            </w:rPr>
            <w:fldChar w:fldCharType="begin"/>
          </w:r>
          <w:r>
            <w:rPr>
              <w:rFonts w:hint="eastAsia"/>
            </w:rPr>
            <w:instrText xml:space="preserve"> </w:instrText>
          </w:r>
          <w:r>
            <w:instrText xml:space="preserve">PAGEREF _Toc179298811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55CE10B7">
          <w:pPr>
            <w:pStyle w:val="6"/>
            <w:tabs>
              <w:tab w:val="right" w:leader="dot" w:pos="8720"/>
            </w:tabs>
            <w:rPr>
              <w:rFonts w:hint="eastAsia" w:asciiTheme="minorHAnsi" w:hAnsiTheme="minorHAnsi" w:eastAsiaTheme="minorEastAsia" w:cstheme="minorBidi"/>
              <w14:ligatures w14:val="standardContextual"/>
            </w:rPr>
          </w:pPr>
          <w:r>
            <w:fldChar w:fldCharType="begin"/>
          </w:r>
          <w:r>
            <w:instrText xml:space="preserve"> HYPERLINK \l "_Toc179298812" </w:instrText>
          </w:r>
          <w:r>
            <w:fldChar w:fldCharType="separate"/>
          </w:r>
          <w:r>
            <w:rPr>
              <w:rStyle w:val="10"/>
              <w:rFonts w:hint="eastAsia"/>
            </w:rPr>
            <w:t>6 初步评价结论</w:t>
          </w:r>
          <w:r>
            <w:rPr>
              <w:rFonts w:hint="eastAsia"/>
            </w:rPr>
            <w:tab/>
          </w:r>
          <w:r>
            <w:rPr>
              <w:rFonts w:hint="eastAsia"/>
            </w:rPr>
            <w:fldChar w:fldCharType="begin"/>
          </w:r>
          <w:r>
            <w:rPr>
              <w:rFonts w:hint="eastAsia"/>
            </w:rPr>
            <w:instrText xml:space="preserve"> </w:instrText>
          </w:r>
          <w:r>
            <w:instrText xml:space="preserve">PAGEREF _Toc179298812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61173C77">
          <w:pPr>
            <w:pStyle w:val="6"/>
            <w:tabs>
              <w:tab w:val="right" w:leader="dot" w:pos="8720"/>
            </w:tabs>
            <w:snapToGrid w:val="0"/>
            <w:spacing w:line="300" w:lineRule="exact"/>
          </w:pPr>
          <w:r>
            <w:rPr>
              <w:lang w:val="zh-CN"/>
            </w:rPr>
            <w:fldChar w:fldCharType="end"/>
          </w:r>
        </w:p>
      </w:sdtContent>
    </w:sdt>
    <w:p w14:paraId="6CDB39D5">
      <w:pPr>
        <w:widowControl/>
        <w:jc w:val="left"/>
        <w:rPr>
          <w:b/>
          <w:sz w:val="26"/>
          <w:szCs w:val="26"/>
        </w:rPr>
      </w:pPr>
      <w:r>
        <w:rPr>
          <w:b/>
          <w:sz w:val="26"/>
          <w:szCs w:val="26"/>
        </w:rPr>
        <w:br w:type="page"/>
      </w:r>
    </w:p>
    <w:p w14:paraId="7BCE36A2">
      <w:pPr>
        <w:spacing w:before="156" w:beforeLines="50" w:after="156" w:afterLines="50"/>
        <w:ind w:firstLine="602"/>
        <w:jc w:val="center"/>
        <w:outlineLvl w:val="0"/>
        <w:rPr>
          <w:b/>
          <w:sz w:val="30"/>
          <w:szCs w:val="30"/>
        </w:rPr>
      </w:pPr>
      <w:bookmarkStart w:id="2" w:name="_Toc179298773"/>
      <w:r>
        <w:rPr>
          <w:rFonts w:hint="eastAsia"/>
          <w:b/>
          <w:sz w:val="30"/>
          <w:szCs w:val="30"/>
        </w:rPr>
        <w:t>1.规划</w:t>
      </w:r>
      <w:r>
        <w:rPr>
          <w:b/>
          <w:sz w:val="30"/>
          <w:szCs w:val="30"/>
        </w:rPr>
        <w:t>概</w:t>
      </w:r>
      <w:r>
        <w:rPr>
          <w:rFonts w:hint="eastAsia"/>
          <w:b/>
          <w:sz w:val="30"/>
          <w:szCs w:val="30"/>
        </w:rPr>
        <w:t>况</w:t>
      </w:r>
      <w:bookmarkEnd w:id="0"/>
      <w:bookmarkEnd w:id="1"/>
      <w:bookmarkEnd w:id="2"/>
    </w:p>
    <w:p w14:paraId="554685E0">
      <w:pPr>
        <w:adjustRightInd w:val="0"/>
        <w:snapToGrid w:val="0"/>
        <w:spacing w:line="480" w:lineRule="exact"/>
        <w:ind w:firstLine="522"/>
        <w:outlineLvl w:val="1"/>
        <w:rPr>
          <w:b/>
          <w:bCs/>
          <w:sz w:val="26"/>
          <w:szCs w:val="26"/>
        </w:rPr>
      </w:pPr>
      <w:bookmarkStart w:id="3" w:name="_Toc179298774"/>
      <w:bookmarkStart w:id="4" w:name="_Toc89101475"/>
      <w:r>
        <w:rPr>
          <w:rFonts w:hint="eastAsia"/>
          <w:b/>
          <w:bCs/>
          <w:sz w:val="26"/>
          <w:szCs w:val="26"/>
        </w:rPr>
        <w:t>1.1规划修编背景</w:t>
      </w:r>
      <w:bookmarkEnd w:id="3"/>
    </w:p>
    <w:p w14:paraId="005F3570">
      <w:pPr>
        <w:adjustRightInd w:val="0"/>
        <w:snapToGrid w:val="0"/>
        <w:spacing w:line="460" w:lineRule="exact"/>
        <w:ind w:firstLine="520" w:firstLineChars="200"/>
        <w:rPr>
          <w:sz w:val="26"/>
          <w:szCs w:val="26"/>
        </w:rPr>
      </w:pPr>
      <w:r>
        <w:rPr>
          <w:rFonts w:hint="eastAsia"/>
          <w:sz w:val="26"/>
          <w:szCs w:val="26"/>
        </w:rPr>
        <w:t>二郎</w:t>
      </w:r>
      <w:r>
        <w:rPr>
          <w:sz w:val="26"/>
          <w:szCs w:val="26"/>
        </w:rPr>
        <w:t>矿区位于习水县东部，</w:t>
      </w:r>
      <w:r>
        <w:rPr>
          <w:rFonts w:hint="eastAsia"/>
          <w:sz w:val="26"/>
          <w:szCs w:val="26"/>
        </w:rPr>
        <w:t>属国家1</w:t>
      </w:r>
      <w:r>
        <w:rPr>
          <w:sz w:val="26"/>
          <w:szCs w:val="26"/>
        </w:rPr>
        <w:t>4</w:t>
      </w:r>
      <w:r>
        <w:rPr>
          <w:rFonts w:hint="eastAsia"/>
          <w:sz w:val="26"/>
          <w:szCs w:val="26"/>
        </w:rPr>
        <w:t>个大型煤炭基地之一的云贵基地的重要组成矿区，矿区地理坐标为东经106°14′43″～106°42′12″，北纬28°7′22″～28°27′33″。</w:t>
      </w:r>
    </w:p>
    <w:p w14:paraId="370BFDE6">
      <w:pPr>
        <w:adjustRightInd w:val="0"/>
        <w:snapToGrid w:val="0"/>
        <w:spacing w:line="460" w:lineRule="exact"/>
        <w:ind w:firstLine="520" w:firstLineChars="200"/>
        <w:rPr>
          <w:sz w:val="26"/>
          <w:szCs w:val="26"/>
        </w:rPr>
      </w:pPr>
      <w:r>
        <w:rPr>
          <w:sz w:val="26"/>
          <w:szCs w:val="26"/>
        </w:rPr>
        <w:t>2006年4月</w:t>
      </w:r>
      <w:r>
        <w:rPr>
          <w:rFonts w:hint="eastAsia"/>
          <w:sz w:val="26"/>
          <w:szCs w:val="26"/>
        </w:rPr>
        <w:t>，</w:t>
      </w:r>
      <w:r>
        <w:rPr>
          <w:sz w:val="26"/>
          <w:szCs w:val="26"/>
        </w:rPr>
        <w:t>国家发展和改革委员会</w:t>
      </w:r>
      <w:r>
        <w:rPr>
          <w:rFonts w:hint="eastAsia"/>
          <w:sz w:val="26"/>
          <w:szCs w:val="26"/>
        </w:rPr>
        <w:t>以</w:t>
      </w:r>
      <w:r>
        <w:rPr>
          <w:sz w:val="26"/>
          <w:szCs w:val="26"/>
        </w:rPr>
        <w:t>发改能源〔2006〕697号</w:t>
      </w:r>
      <w:r>
        <w:rPr>
          <w:rFonts w:hint="eastAsia"/>
          <w:sz w:val="26"/>
          <w:szCs w:val="26"/>
        </w:rPr>
        <w:t>文批复《</w:t>
      </w:r>
      <w:r>
        <w:rPr>
          <w:sz w:val="26"/>
          <w:szCs w:val="26"/>
        </w:rPr>
        <w:t>黔北矿区二郎区</w:t>
      </w:r>
      <w:r>
        <w:rPr>
          <w:rFonts w:hint="eastAsia"/>
          <w:sz w:val="26"/>
          <w:szCs w:val="26"/>
        </w:rPr>
        <w:t>总体规划》。批复矿区面积767.0293平方公里，规划总资源量16.68亿吨。矿区共规划7个井田、1个勘查区和1个后备区，规划总规模510万吨/年。其中，二郎120万吨/年，永安45万吨/年，兴隆120万吨/年，双龙45万吨/年，富邦45万吨/年，天池45万吨/年，桃林90万吨/年；官店勘查区待进一步勘探后，再确定开发方式。</w:t>
      </w:r>
    </w:p>
    <w:p w14:paraId="37D97AC2">
      <w:pPr>
        <w:adjustRightInd w:val="0"/>
        <w:snapToGrid w:val="0"/>
        <w:spacing w:line="460" w:lineRule="exact"/>
        <w:ind w:firstLine="520" w:firstLineChars="200"/>
        <w:rPr>
          <w:sz w:val="26"/>
          <w:szCs w:val="26"/>
        </w:rPr>
      </w:pPr>
      <w:r>
        <w:rPr>
          <w:rFonts w:hint="eastAsia"/>
          <w:sz w:val="26"/>
          <w:szCs w:val="26"/>
        </w:rPr>
        <w:t>截至2</w:t>
      </w:r>
      <w:r>
        <w:rPr>
          <w:sz w:val="26"/>
          <w:szCs w:val="26"/>
        </w:rPr>
        <w:t>02</w:t>
      </w:r>
      <w:r>
        <w:rPr>
          <w:rFonts w:hint="eastAsia"/>
          <w:sz w:val="26"/>
          <w:szCs w:val="26"/>
        </w:rPr>
        <w:t>4年7月，二郎矿区现有5处煤矿采矿权和1处探矿权，总生产能力255万吨/年。其中，生产矿井2处，分别为习水县新兴宏能煤矿（45万吨/年）和习水县兴隆煤矿（60万吨/年）；停建矿井2处，分别为习水县永安煤矿（30万吨/年）和习水县天成煤矿（60万吨/年）；在建矿井1处，为习水县利达煤矿（30万吨/年）；探矿权为习水县桃林煤矿探矿权。此外，矿区范围内已关闭退出煤矿7处，分别为习水县的福平煤矿、长青一矿、长青二矿、田坝煤矿、富邦煤矿以及仁怀市沙滩年发煤矿和仁怀市福平煤矿。</w:t>
      </w:r>
    </w:p>
    <w:p w14:paraId="012CEC48">
      <w:pPr>
        <w:adjustRightInd w:val="0"/>
        <w:snapToGrid w:val="0"/>
        <w:spacing w:line="460" w:lineRule="exact"/>
        <w:ind w:firstLine="520" w:firstLineChars="200"/>
        <w:rPr>
          <w:sz w:val="26"/>
          <w:szCs w:val="26"/>
        </w:rPr>
      </w:pPr>
      <w:r>
        <w:rPr>
          <w:rFonts w:hint="eastAsia"/>
          <w:sz w:val="26"/>
          <w:szCs w:val="26"/>
        </w:rPr>
        <w:t>二郎矿区资源较为丰富，是习水地区动力煤生产供应主要矿区，鉴于贵州能源结构特点和用煤产业发展，煤炭在相当长时期不可或缺，且因省外煤炭资源及煤运通道等问题，需“富矿精开”，释放先进产能，保持合理产能规模；此外，二郎矿区原规划范围中内生态保护红线、自然保护地、饮用水源保护区、等生态敏感区不断补充和完善，部分原规划矿井井田范围需按相关要求避让或逐步退出；原矿区涉及习水和仁怀市行政区，不利于地方煤矿项目属地管理；原规划矿区空白区占比达46%，空白区占比高，规划指导性不强。上一轮划定的规划井田划分和开发规模及矿区范围已不能科学指导二郎矿区合理开发。为适应煤炭发展新形势、新要求，合理、有序的勘探、开发利用二郎矿区煤炭资源，保护区域生态环境，满足地区经济发展对能源工业的需求，提出科学合理的矿区规划方案，为后期煤炭资源的高质量开发建设打下坚实基础，2</w:t>
      </w:r>
      <w:r>
        <w:rPr>
          <w:sz w:val="26"/>
          <w:szCs w:val="26"/>
        </w:rPr>
        <w:t>02</w:t>
      </w:r>
      <w:r>
        <w:rPr>
          <w:rFonts w:hint="eastAsia"/>
          <w:sz w:val="26"/>
          <w:szCs w:val="26"/>
        </w:rPr>
        <w:t>3年11月，习水县工业能源和科学技术局委托开展贵州省二郎煤炭矿区总体规划修编，并同步开展修编规划环评工作。</w:t>
      </w:r>
    </w:p>
    <w:p w14:paraId="19D57E8B">
      <w:pPr>
        <w:adjustRightInd w:val="0"/>
        <w:snapToGrid w:val="0"/>
        <w:spacing w:line="480" w:lineRule="exact"/>
        <w:ind w:firstLine="520"/>
        <w:rPr>
          <w:sz w:val="26"/>
          <w:szCs w:val="26"/>
        </w:rPr>
      </w:pPr>
      <w:r>
        <w:rPr>
          <w:rFonts w:hint="eastAsia"/>
          <w:sz w:val="26"/>
          <w:szCs w:val="26"/>
        </w:rPr>
        <w:t>根据《贵州省二郎煤炭矿区总体规划（修编）》，因矿区规划修编涉及井田的合并和分立，且规划规模较原规划增加，属《关于进一步加强煤炭资源开发环境影响评价管理的通知》（环环评〔2020〕63号）中“原规划井田合并或分立时，增加涉及的井田总规模的”情形，为环环评〔2020〕63号文件规定的“规划重大调整”，应编制煤炭矿区总体规划（修改版），同步开展规划环评，并按程序报批（审）。</w:t>
      </w:r>
    </w:p>
    <w:p w14:paraId="220A9B23">
      <w:pPr>
        <w:adjustRightInd w:val="0"/>
        <w:snapToGrid w:val="0"/>
        <w:spacing w:line="480" w:lineRule="exact"/>
        <w:ind w:firstLine="522"/>
        <w:outlineLvl w:val="1"/>
        <w:rPr>
          <w:b/>
          <w:bCs/>
          <w:sz w:val="26"/>
          <w:szCs w:val="26"/>
        </w:rPr>
      </w:pPr>
      <w:bookmarkStart w:id="5" w:name="_Toc179298775"/>
      <w:r>
        <w:rPr>
          <w:rFonts w:hint="eastAsia"/>
          <w:b/>
          <w:bCs/>
          <w:sz w:val="26"/>
          <w:szCs w:val="26"/>
        </w:rPr>
        <w:t>1.2规划修编范围</w:t>
      </w:r>
      <w:bookmarkEnd w:id="5"/>
    </w:p>
    <w:p w14:paraId="03AE4B50">
      <w:pPr>
        <w:adjustRightInd w:val="0"/>
        <w:snapToGrid w:val="0"/>
        <w:spacing w:line="460" w:lineRule="exact"/>
        <w:ind w:firstLine="520" w:firstLineChars="200"/>
        <w:rPr>
          <w:sz w:val="26"/>
          <w:szCs w:val="26"/>
        </w:rPr>
      </w:pPr>
      <w:r>
        <w:rPr>
          <w:rFonts w:hint="eastAsia"/>
          <w:sz w:val="26"/>
          <w:szCs w:val="26"/>
        </w:rPr>
        <w:t>本次规划修编重点根据煤层资源赋存情况对规划区范围进一步调整和优化，修编后的矿区范围浅部以最下一层煤即C</w:t>
      </w:r>
      <w:r>
        <w:rPr>
          <w:rFonts w:hint="eastAsia"/>
          <w:sz w:val="26"/>
          <w:szCs w:val="26"/>
          <w:vertAlign w:val="subscript"/>
        </w:rPr>
        <w:t>12</w:t>
      </w:r>
      <w:r>
        <w:rPr>
          <w:rFonts w:hint="eastAsia"/>
          <w:sz w:val="26"/>
          <w:szCs w:val="26"/>
        </w:rPr>
        <w:t>煤层露头线，深部以矿区1200m最大允许开采深度为界；同时根据区域地质构造、开采技术条件及地形地貌和地面设施、生态敏感区、行政管理等因素进一步细化矿区范围，最终确定总规划区面积150.6358平方公里，开采二叠系乐平统龙潭组煤层，其中可采和局部可采煤层6层，自上而下为：C</w:t>
      </w:r>
      <w:r>
        <w:rPr>
          <w:rFonts w:hint="eastAsia"/>
          <w:sz w:val="26"/>
          <w:szCs w:val="26"/>
          <w:vertAlign w:val="subscript"/>
        </w:rPr>
        <w:t>5</w:t>
      </w:r>
      <w:r>
        <w:rPr>
          <w:rFonts w:hint="eastAsia"/>
          <w:sz w:val="26"/>
          <w:szCs w:val="26"/>
        </w:rPr>
        <w:t>、C</w:t>
      </w:r>
      <w:r>
        <w:rPr>
          <w:rFonts w:hint="eastAsia"/>
          <w:sz w:val="26"/>
          <w:szCs w:val="26"/>
          <w:vertAlign w:val="subscript"/>
        </w:rPr>
        <w:t>7</w:t>
      </w:r>
      <w:r>
        <w:rPr>
          <w:rFonts w:hint="eastAsia"/>
          <w:sz w:val="26"/>
          <w:szCs w:val="26"/>
        </w:rPr>
        <w:t>、C</w:t>
      </w:r>
      <w:r>
        <w:rPr>
          <w:rFonts w:hint="eastAsia"/>
          <w:sz w:val="26"/>
          <w:szCs w:val="26"/>
          <w:vertAlign w:val="subscript"/>
        </w:rPr>
        <w:t>8-1</w:t>
      </w:r>
      <w:r>
        <w:rPr>
          <w:rFonts w:hint="eastAsia"/>
          <w:sz w:val="26"/>
          <w:szCs w:val="26"/>
        </w:rPr>
        <w:t>、C</w:t>
      </w:r>
      <w:r>
        <w:rPr>
          <w:rFonts w:hint="eastAsia"/>
          <w:sz w:val="26"/>
          <w:szCs w:val="26"/>
          <w:vertAlign w:val="subscript"/>
        </w:rPr>
        <w:t>8</w:t>
      </w:r>
      <w:r>
        <w:rPr>
          <w:rFonts w:hint="eastAsia"/>
          <w:sz w:val="26"/>
          <w:szCs w:val="26"/>
        </w:rPr>
        <w:t>、C</w:t>
      </w:r>
      <w:r>
        <w:rPr>
          <w:rFonts w:hint="eastAsia"/>
          <w:sz w:val="26"/>
          <w:szCs w:val="26"/>
          <w:vertAlign w:val="subscript"/>
        </w:rPr>
        <w:t>11</w:t>
      </w:r>
      <w:r>
        <w:rPr>
          <w:rFonts w:hint="eastAsia"/>
          <w:sz w:val="26"/>
          <w:szCs w:val="26"/>
        </w:rPr>
        <w:t>、C</w:t>
      </w:r>
      <w:r>
        <w:rPr>
          <w:rFonts w:hint="eastAsia"/>
          <w:sz w:val="26"/>
          <w:szCs w:val="26"/>
          <w:vertAlign w:val="subscript"/>
        </w:rPr>
        <w:t>12</w:t>
      </w:r>
      <w:r>
        <w:rPr>
          <w:rFonts w:hint="eastAsia"/>
          <w:sz w:val="26"/>
          <w:szCs w:val="26"/>
        </w:rPr>
        <w:t>，主采煤层C</w:t>
      </w:r>
      <w:r>
        <w:rPr>
          <w:rFonts w:hint="eastAsia"/>
          <w:sz w:val="26"/>
          <w:szCs w:val="26"/>
          <w:vertAlign w:val="subscript"/>
        </w:rPr>
        <w:t>5</w:t>
      </w:r>
      <w:r>
        <w:rPr>
          <w:rFonts w:hint="eastAsia"/>
          <w:sz w:val="26"/>
          <w:szCs w:val="26"/>
        </w:rPr>
        <w:t>、C</w:t>
      </w:r>
      <w:r>
        <w:rPr>
          <w:rFonts w:hint="eastAsia"/>
          <w:sz w:val="26"/>
          <w:szCs w:val="26"/>
          <w:vertAlign w:val="subscript"/>
        </w:rPr>
        <w:t>8</w:t>
      </w:r>
      <w:r>
        <w:rPr>
          <w:rFonts w:hint="eastAsia"/>
          <w:sz w:val="26"/>
          <w:szCs w:val="26"/>
        </w:rPr>
        <w:t>、C</w:t>
      </w:r>
      <w:r>
        <w:rPr>
          <w:rFonts w:hint="eastAsia"/>
          <w:sz w:val="26"/>
          <w:szCs w:val="26"/>
          <w:vertAlign w:val="subscript"/>
        </w:rPr>
        <w:t>12</w:t>
      </w:r>
      <w:r>
        <w:rPr>
          <w:rFonts w:hint="eastAsia"/>
          <w:sz w:val="26"/>
          <w:szCs w:val="26"/>
        </w:rPr>
        <w:t>三层，煤层厚度以薄及中厚煤层为主，煤质以三号无烟煤为主，贫煤次之；规划矿区含含硫量≥3</w:t>
      </w:r>
      <w:r>
        <w:rPr>
          <w:sz w:val="26"/>
          <w:szCs w:val="26"/>
        </w:rPr>
        <w:t>%</w:t>
      </w:r>
      <w:r>
        <w:rPr>
          <w:rFonts w:hint="eastAsia"/>
          <w:sz w:val="26"/>
          <w:szCs w:val="26"/>
        </w:rPr>
        <w:t>的煤炭资源总资源量8.90401亿吨（含硫量≥3</w:t>
      </w:r>
      <w:r>
        <w:rPr>
          <w:sz w:val="26"/>
          <w:szCs w:val="26"/>
        </w:rPr>
        <w:t>%</w:t>
      </w:r>
      <w:r>
        <w:rPr>
          <w:rFonts w:hint="eastAsia"/>
          <w:sz w:val="26"/>
          <w:szCs w:val="26"/>
        </w:rPr>
        <w:t>的煤炭资源约1.5567亿吨，在开采设计储量中予以扣除）。</w:t>
      </w:r>
    </w:p>
    <w:p w14:paraId="664486B9">
      <w:pPr>
        <w:adjustRightInd w:val="0"/>
        <w:snapToGrid w:val="0"/>
        <w:spacing w:line="480" w:lineRule="exact"/>
        <w:ind w:firstLine="522"/>
        <w:outlineLvl w:val="1"/>
        <w:rPr>
          <w:b/>
          <w:bCs/>
          <w:sz w:val="26"/>
          <w:szCs w:val="26"/>
        </w:rPr>
      </w:pPr>
      <w:bookmarkStart w:id="6" w:name="_Toc179298776"/>
      <w:r>
        <w:rPr>
          <w:rFonts w:hint="eastAsia"/>
          <w:b/>
          <w:bCs/>
          <w:sz w:val="26"/>
          <w:szCs w:val="26"/>
        </w:rPr>
        <w:t>1.3规划矿区修编后服务年限</w:t>
      </w:r>
      <w:bookmarkEnd w:id="6"/>
    </w:p>
    <w:p w14:paraId="0939702B">
      <w:pPr>
        <w:adjustRightInd w:val="0"/>
        <w:snapToGrid w:val="0"/>
        <w:spacing w:line="480" w:lineRule="exact"/>
        <w:ind w:firstLine="520"/>
        <w:rPr>
          <w:sz w:val="26"/>
          <w:szCs w:val="26"/>
        </w:rPr>
      </w:pPr>
      <w:r>
        <w:rPr>
          <w:sz w:val="26"/>
          <w:szCs w:val="26"/>
          <w:lang w:val="de-DE"/>
        </w:rPr>
        <w:t>根据国民经济和区域经济发展需要、市场需求、外部建设条件、矿井开采条件、矿区勘查程度及勘查工作安排顺序、矿区和矿井的综</w:t>
      </w:r>
      <w:r>
        <w:rPr>
          <w:color w:val="000000"/>
          <w:sz w:val="26"/>
          <w:szCs w:val="26"/>
          <w:lang w:val="de-DE"/>
        </w:rPr>
        <w:t>合经济效益等因素，简单的先开，成熟的先开，成熟一个开发一个</w:t>
      </w:r>
      <w:r>
        <w:rPr>
          <w:rFonts w:hint="eastAsia"/>
          <w:color w:val="000000"/>
          <w:sz w:val="26"/>
          <w:szCs w:val="26"/>
          <w:lang w:val="de-DE"/>
        </w:rPr>
        <w:t>原则，本次矿区规划修编按现有勘探程度，重新确定了二郎矿区</w:t>
      </w:r>
      <w:r>
        <w:rPr>
          <w:color w:val="000000"/>
          <w:sz w:val="26"/>
          <w:szCs w:val="26"/>
          <w:lang w:val="de-DE"/>
        </w:rPr>
        <w:t>总服务年限为5</w:t>
      </w:r>
      <w:r>
        <w:rPr>
          <w:rFonts w:hint="eastAsia"/>
          <w:color w:val="000000"/>
          <w:sz w:val="26"/>
          <w:szCs w:val="26"/>
          <w:lang w:val="de-DE"/>
        </w:rPr>
        <w:t>9</w:t>
      </w:r>
      <w:r>
        <w:rPr>
          <w:color w:val="000000"/>
          <w:sz w:val="26"/>
          <w:szCs w:val="26"/>
          <w:lang w:val="de-DE"/>
        </w:rPr>
        <w:t>年，矿区达产期为3年</w:t>
      </w:r>
      <w:r>
        <w:rPr>
          <w:rFonts w:hint="eastAsia"/>
          <w:color w:val="000000"/>
          <w:sz w:val="26"/>
          <w:szCs w:val="26"/>
          <w:lang w:val="de-DE"/>
        </w:rPr>
        <w:t>；</w:t>
      </w:r>
      <w:r>
        <w:rPr>
          <w:color w:val="000000"/>
          <w:sz w:val="26"/>
          <w:szCs w:val="26"/>
          <w:lang w:val="de-DE"/>
        </w:rPr>
        <w:t>矿区规模维持在</w:t>
      </w:r>
      <w:r>
        <w:rPr>
          <w:rFonts w:hint="eastAsia"/>
          <w:color w:val="000000"/>
          <w:sz w:val="26"/>
          <w:szCs w:val="26"/>
          <w:lang w:val="de-DE"/>
        </w:rPr>
        <w:t>51</w:t>
      </w:r>
      <w:r>
        <w:rPr>
          <w:color w:val="000000"/>
          <w:sz w:val="26"/>
          <w:szCs w:val="26"/>
          <w:lang w:val="de-DE"/>
        </w:rPr>
        <w:t>0万吨/年以上的均衡生产年限为</w:t>
      </w:r>
      <w:r>
        <w:rPr>
          <w:rFonts w:hint="eastAsia"/>
          <w:color w:val="000000"/>
          <w:sz w:val="26"/>
          <w:szCs w:val="26"/>
          <w:lang w:val="de-DE"/>
        </w:rPr>
        <w:t>29</w:t>
      </w:r>
      <w:r>
        <w:rPr>
          <w:color w:val="000000"/>
          <w:sz w:val="26"/>
          <w:szCs w:val="26"/>
          <w:lang w:val="de-DE"/>
        </w:rPr>
        <w:t>年，其中维持在600万吨/年的均衡生产年限为2</w:t>
      </w:r>
      <w:r>
        <w:rPr>
          <w:rFonts w:hint="eastAsia"/>
          <w:color w:val="000000"/>
          <w:sz w:val="26"/>
          <w:szCs w:val="26"/>
          <w:lang w:val="de-DE"/>
        </w:rPr>
        <w:t>6</w:t>
      </w:r>
      <w:r>
        <w:rPr>
          <w:color w:val="000000"/>
          <w:sz w:val="26"/>
          <w:szCs w:val="26"/>
          <w:lang w:val="de-DE"/>
        </w:rPr>
        <w:t>年</w:t>
      </w:r>
      <w:r>
        <w:rPr>
          <w:rFonts w:hint="eastAsia"/>
          <w:color w:val="000000"/>
          <w:sz w:val="26"/>
          <w:szCs w:val="26"/>
          <w:lang w:val="de-DE"/>
        </w:rPr>
        <w:t>；</w:t>
      </w:r>
      <w:r>
        <w:rPr>
          <w:color w:val="000000"/>
          <w:sz w:val="26"/>
          <w:szCs w:val="26"/>
          <w:lang w:val="de-DE"/>
        </w:rPr>
        <w:t>矿区减产期为</w:t>
      </w:r>
      <w:r>
        <w:rPr>
          <w:rFonts w:hint="eastAsia"/>
          <w:color w:val="000000"/>
          <w:sz w:val="26"/>
          <w:szCs w:val="26"/>
          <w:lang w:val="de-DE"/>
        </w:rPr>
        <w:t>29年</w:t>
      </w:r>
      <w:r>
        <w:rPr>
          <w:rFonts w:hint="eastAsia"/>
          <w:sz w:val="26"/>
          <w:szCs w:val="26"/>
        </w:rPr>
        <w:t>。</w:t>
      </w:r>
    </w:p>
    <w:p w14:paraId="2F05358E">
      <w:pPr>
        <w:adjustRightInd w:val="0"/>
        <w:snapToGrid w:val="0"/>
        <w:spacing w:line="480" w:lineRule="exact"/>
        <w:ind w:firstLine="522"/>
        <w:outlineLvl w:val="1"/>
        <w:rPr>
          <w:b/>
          <w:bCs/>
          <w:sz w:val="26"/>
          <w:szCs w:val="26"/>
        </w:rPr>
      </w:pPr>
      <w:bookmarkStart w:id="7" w:name="_Toc179298777"/>
      <w:r>
        <w:rPr>
          <w:rFonts w:hint="eastAsia"/>
          <w:b/>
          <w:bCs/>
          <w:sz w:val="26"/>
          <w:szCs w:val="26"/>
        </w:rPr>
        <w:t>1.4规划修编建设方案</w:t>
      </w:r>
      <w:bookmarkEnd w:id="7"/>
    </w:p>
    <w:p w14:paraId="236C7DF7">
      <w:pPr>
        <w:adjustRightInd w:val="0"/>
        <w:snapToGrid w:val="0"/>
        <w:spacing w:line="480" w:lineRule="exact"/>
        <w:ind w:firstLine="520"/>
        <w:rPr>
          <w:sz w:val="26"/>
          <w:szCs w:val="26"/>
        </w:rPr>
      </w:pPr>
      <w:r>
        <w:rPr>
          <w:rFonts w:hint="eastAsia"/>
          <w:sz w:val="26"/>
          <w:szCs w:val="26"/>
        </w:rPr>
        <w:t>修编后矿区共规划6个井田、3处勘查区和一处关闭煤矿退出区，总规模600万吨/年。其中：①新建矿井1处，即桃林煤矿，新建规模120万吨/年；②改扩建矿井5处，总规模480万吨/年，分别为新兴宏能煤矿45万吨/年改扩建至90万吨/年、永安煤矿30万吨/年改扩建至90万吨/年、兴隆煤矿60万吨/年改扩建至120万吨/年、天成煤矿60万吨/年改扩建至90万吨/年、利达煤矿30万吨/年改扩建至90万吨/年；③勘查区3处，分别为二郎勘查区、双龙勘查区、官店勘查区。其中勘查区和关闭煤矿退出区分别待进一步勘查查明煤炭资源赋存和关闭煤矿新政策出台后再行调整。矿区服务年限59年。矿区配套规划新建5座选煤厂，总洗选能力630万吨/年。各矿井配套建设瓦斯综合利用电站，共计6座，总装机规模46.2MW。产品煤外运全部为公路运输。</w:t>
      </w:r>
    </w:p>
    <w:p w14:paraId="654FC3F7">
      <w:pPr>
        <w:adjustRightInd w:val="0"/>
        <w:snapToGrid w:val="0"/>
        <w:spacing w:line="480" w:lineRule="exact"/>
        <w:ind w:firstLine="522"/>
        <w:outlineLvl w:val="1"/>
        <w:rPr>
          <w:b/>
          <w:bCs/>
          <w:sz w:val="26"/>
          <w:szCs w:val="26"/>
        </w:rPr>
      </w:pPr>
      <w:bookmarkStart w:id="8" w:name="_Toc179298778"/>
      <w:r>
        <w:rPr>
          <w:rFonts w:hint="eastAsia"/>
          <w:b/>
          <w:bCs/>
          <w:sz w:val="26"/>
          <w:szCs w:val="26"/>
        </w:rPr>
        <w:t>1.5规划修编其他利用规划</w:t>
      </w:r>
      <w:bookmarkEnd w:id="8"/>
    </w:p>
    <w:p w14:paraId="6C9B64CD">
      <w:pPr>
        <w:adjustRightInd w:val="0"/>
        <w:snapToGrid w:val="0"/>
        <w:spacing w:line="480" w:lineRule="exact"/>
        <w:ind w:firstLine="520"/>
        <w:rPr>
          <w:sz w:val="26"/>
          <w:szCs w:val="26"/>
        </w:rPr>
      </w:pPr>
      <w:r>
        <w:rPr>
          <w:rFonts w:hint="eastAsia"/>
          <w:sz w:val="26"/>
          <w:szCs w:val="26"/>
        </w:rPr>
        <w:t>矿区原煤经配套洗选设置洗选后以汽车外运为主，矿区内各矿井煤矸石鼓励井下充填、外售地方砖厂、水泥厂做建材等多途径综合利用。各矿井采用空气能余热或电热水器供暖。矿井生活用水就近取用处理后的河水、泉水，生产用水全部取用经处理后的矿井水，多余矿井水处理达标后经各矿井依法设置的排污口达标排放。</w:t>
      </w:r>
    </w:p>
    <w:p w14:paraId="0C0A6CA1">
      <w:pPr>
        <w:widowControl/>
        <w:jc w:val="left"/>
        <w:rPr>
          <w:sz w:val="26"/>
          <w:szCs w:val="26"/>
        </w:rPr>
      </w:pPr>
      <w:r>
        <w:rPr>
          <w:sz w:val="26"/>
          <w:szCs w:val="26"/>
        </w:rPr>
        <w:br w:type="page"/>
      </w:r>
    </w:p>
    <w:p w14:paraId="5496B8B1">
      <w:pPr>
        <w:spacing w:before="156" w:beforeLines="50" w:after="156" w:afterLines="50"/>
        <w:ind w:firstLine="602"/>
        <w:jc w:val="center"/>
        <w:outlineLvl w:val="0"/>
        <w:rPr>
          <w:b/>
          <w:sz w:val="30"/>
          <w:szCs w:val="30"/>
        </w:rPr>
      </w:pPr>
      <w:bookmarkStart w:id="9" w:name="_Toc179298779"/>
      <w:r>
        <w:rPr>
          <w:rFonts w:hint="eastAsia"/>
          <w:b/>
          <w:sz w:val="30"/>
          <w:szCs w:val="30"/>
        </w:rPr>
        <w:t>2.区域主要环境敏感目标及环境质量</w:t>
      </w:r>
      <w:bookmarkEnd w:id="9"/>
    </w:p>
    <w:p w14:paraId="515A9AFC">
      <w:pPr>
        <w:adjustRightInd w:val="0"/>
        <w:snapToGrid w:val="0"/>
        <w:spacing w:line="480" w:lineRule="exact"/>
        <w:ind w:firstLine="522"/>
        <w:outlineLvl w:val="1"/>
        <w:rPr>
          <w:b/>
          <w:bCs/>
          <w:sz w:val="26"/>
          <w:szCs w:val="26"/>
        </w:rPr>
      </w:pPr>
      <w:bookmarkStart w:id="10" w:name="_Toc179298780"/>
      <w:r>
        <w:rPr>
          <w:rFonts w:hint="eastAsia"/>
          <w:b/>
          <w:bCs/>
          <w:sz w:val="26"/>
          <w:szCs w:val="26"/>
        </w:rPr>
        <w:t>2.1环境敏感区及环境保护目标</w:t>
      </w:r>
      <w:bookmarkEnd w:id="10"/>
    </w:p>
    <w:p w14:paraId="752222D1">
      <w:pPr>
        <w:adjustRightInd w:val="0"/>
        <w:snapToGrid w:val="0"/>
        <w:spacing w:line="480" w:lineRule="exact"/>
        <w:ind w:firstLine="520"/>
        <w:rPr>
          <w:sz w:val="26"/>
          <w:szCs w:val="26"/>
        </w:rPr>
      </w:pPr>
      <w:r>
        <w:rPr>
          <w:rFonts w:hint="eastAsia"/>
          <w:sz w:val="26"/>
          <w:szCs w:val="26"/>
        </w:rPr>
        <w:t>经现场踏勘和资料调查，本次修编规划矿区范围主动避让了区域分布的生态保护红线、自然保护区、风景名胜区、饮用水源保护区、森林公园等环境敏感区。本次规划环评评价范围内环境敏感区主要有邻近的集中饮用水水源保护区、文物古迹、名木古树、城镇开发边界、永久基本</w:t>
      </w:r>
      <w:r>
        <w:rPr>
          <w:sz w:val="26"/>
          <w:szCs w:val="26"/>
        </w:rPr>
        <w:t>农田</w:t>
      </w:r>
      <w:r>
        <w:rPr>
          <w:rFonts w:hint="eastAsia"/>
          <w:sz w:val="26"/>
          <w:szCs w:val="26"/>
        </w:rPr>
        <w:t>、公益林、居民点等，</w:t>
      </w:r>
    </w:p>
    <w:p w14:paraId="6768CE4D">
      <w:pPr>
        <w:adjustRightInd w:val="0"/>
        <w:snapToGrid w:val="0"/>
        <w:spacing w:line="480" w:lineRule="exact"/>
        <w:ind w:firstLine="520"/>
        <w:rPr>
          <w:sz w:val="26"/>
          <w:szCs w:val="26"/>
        </w:rPr>
      </w:pPr>
      <w:r>
        <w:rPr>
          <w:rFonts w:hint="eastAsia"/>
          <w:sz w:val="26"/>
          <w:szCs w:val="26"/>
        </w:rPr>
        <w:t>各类环境敏感区与规划区位置关系见表</w:t>
      </w:r>
      <w:r>
        <w:rPr>
          <w:sz w:val="26"/>
          <w:szCs w:val="26"/>
        </w:rPr>
        <w:t>1</w:t>
      </w:r>
      <w:r>
        <w:rPr>
          <w:rFonts w:hint="eastAsia"/>
          <w:sz w:val="26"/>
          <w:szCs w:val="26"/>
        </w:rPr>
        <w:t>。</w:t>
      </w:r>
    </w:p>
    <w:p w14:paraId="288E8675">
      <w:pPr>
        <w:adjustRightInd w:val="0"/>
        <w:snapToGrid w:val="0"/>
        <w:spacing w:line="480" w:lineRule="exact"/>
        <w:ind w:firstLine="520"/>
        <w:rPr>
          <w:sz w:val="26"/>
          <w:szCs w:val="26"/>
        </w:rPr>
        <w:sectPr>
          <w:footerReference r:id="rId3" w:type="default"/>
          <w:pgSz w:w="11906" w:h="16838"/>
          <w:pgMar w:top="1701" w:right="1588" w:bottom="1588" w:left="1588" w:header="1020" w:footer="1020" w:gutter="0"/>
          <w:cols w:space="720" w:num="1"/>
          <w:titlePg/>
          <w:docGrid w:type="lines" w:linePitch="312" w:charSpace="0"/>
        </w:sectPr>
      </w:pPr>
    </w:p>
    <w:p w14:paraId="42F1D35A">
      <w:pPr>
        <w:spacing w:line="460" w:lineRule="exact"/>
        <w:jc w:val="center"/>
        <w:rPr>
          <w:sz w:val="26"/>
          <w:szCs w:val="26"/>
        </w:rPr>
      </w:pPr>
      <w:r>
        <w:rPr>
          <w:sz w:val="26"/>
          <w:szCs w:val="26"/>
        </w:rPr>
        <w:t>表1  本规划涉及的环境敏感目标一览表</w:t>
      </w:r>
    </w:p>
    <w:tbl>
      <w:tblPr>
        <w:tblStyle w:val="8"/>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09"/>
        <w:gridCol w:w="672"/>
        <w:gridCol w:w="1047"/>
        <w:gridCol w:w="4171"/>
        <w:gridCol w:w="4111"/>
        <w:gridCol w:w="2398"/>
      </w:tblGrid>
      <w:tr w14:paraId="5DCA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67" w:type="dxa"/>
            <w:tcBorders>
              <w:top w:val="single" w:color="auto" w:sz="4" w:space="0"/>
              <w:left w:val="single" w:color="auto" w:sz="4" w:space="0"/>
              <w:bottom w:val="single" w:color="auto" w:sz="4" w:space="0"/>
              <w:right w:val="single" w:color="auto" w:sz="4" w:space="0"/>
            </w:tcBorders>
            <w:vAlign w:val="center"/>
          </w:tcPr>
          <w:p w14:paraId="6DB311B6">
            <w:pPr>
              <w:spacing w:line="260" w:lineRule="exact"/>
              <w:ind w:left="-86" w:leftChars="-41" w:right="-124" w:rightChars="-59"/>
              <w:jc w:val="center"/>
              <w:rPr>
                <w:color w:val="000000"/>
                <w:sz w:val="20"/>
                <w:szCs w:val="20"/>
              </w:rPr>
            </w:pPr>
            <w:r>
              <w:rPr>
                <w:color w:val="000000"/>
                <w:sz w:val="20"/>
                <w:szCs w:val="20"/>
              </w:rPr>
              <w:t>要素</w:t>
            </w:r>
          </w:p>
        </w:tc>
        <w:tc>
          <w:tcPr>
            <w:tcW w:w="909" w:type="dxa"/>
            <w:tcBorders>
              <w:top w:val="single" w:color="auto" w:sz="4" w:space="0"/>
              <w:left w:val="single" w:color="auto" w:sz="4" w:space="0"/>
              <w:bottom w:val="single" w:color="auto" w:sz="4" w:space="0"/>
              <w:right w:val="single" w:color="auto" w:sz="4" w:space="0"/>
            </w:tcBorders>
            <w:vAlign w:val="center"/>
          </w:tcPr>
          <w:p w14:paraId="178C221D">
            <w:pPr>
              <w:spacing w:line="260" w:lineRule="exact"/>
              <w:jc w:val="center"/>
              <w:rPr>
                <w:color w:val="000000"/>
                <w:sz w:val="20"/>
                <w:szCs w:val="20"/>
              </w:rPr>
            </w:pPr>
            <w:r>
              <w:rPr>
                <w:color w:val="000000"/>
                <w:sz w:val="20"/>
                <w:szCs w:val="20"/>
              </w:rPr>
              <w:t>类型</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1063009F">
            <w:pPr>
              <w:spacing w:line="260" w:lineRule="exact"/>
              <w:jc w:val="center"/>
              <w:rPr>
                <w:color w:val="000000"/>
                <w:sz w:val="20"/>
                <w:szCs w:val="20"/>
              </w:rPr>
            </w:pPr>
            <w:r>
              <w:rPr>
                <w:color w:val="000000"/>
                <w:sz w:val="20"/>
                <w:szCs w:val="20"/>
              </w:rPr>
              <w:t>环境敏感目标</w:t>
            </w:r>
          </w:p>
        </w:tc>
        <w:tc>
          <w:tcPr>
            <w:tcW w:w="4171" w:type="dxa"/>
            <w:tcBorders>
              <w:top w:val="single" w:color="auto" w:sz="4" w:space="0"/>
              <w:left w:val="single" w:color="auto" w:sz="4" w:space="0"/>
              <w:bottom w:val="single" w:color="auto" w:sz="4" w:space="0"/>
              <w:right w:val="single" w:color="auto" w:sz="4" w:space="0"/>
            </w:tcBorders>
            <w:vAlign w:val="center"/>
          </w:tcPr>
          <w:p w14:paraId="247A8FF0">
            <w:pPr>
              <w:spacing w:line="260" w:lineRule="exact"/>
              <w:jc w:val="center"/>
              <w:rPr>
                <w:color w:val="000000"/>
                <w:sz w:val="20"/>
                <w:szCs w:val="20"/>
              </w:rPr>
            </w:pPr>
            <w:r>
              <w:rPr>
                <w:color w:val="000000"/>
                <w:sz w:val="20"/>
                <w:szCs w:val="20"/>
              </w:rPr>
              <w:t>环境敏感目标概况</w:t>
            </w:r>
          </w:p>
        </w:tc>
        <w:tc>
          <w:tcPr>
            <w:tcW w:w="4111" w:type="dxa"/>
            <w:tcBorders>
              <w:top w:val="single" w:color="auto" w:sz="4" w:space="0"/>
              <w:left w:val="single" w:color="auto" w:sz="4" w:space="0"/>
              <w:bottom w:val="single" w:color="auto" w:sz="4" w:space="0"/>
              <w:right w:val="single" w:color="auto" w:sz="4" w:space="0"/>
            </w:tcBorders>
            <w:vAlign w:val="center"/>
          </w:tcPr>
          <w:p w14:paraId="1B5D1A1A">
            <w:pPr>
              <w:spacing w:line="260" w:lineRule="exact"/>
              <w:jc w:val="center"/>
              <w:rPr>
                <w:color w:val="000000"/>
                <w:sz w:val="20"/>
                <w:szCs w:val="20"/>
              </w:rPr>
            </w:pPr>
            <w:r>
              <w:rPr>
                <w:color w:val="000000"/>
                <w:sz w:val="20"/>
                <w:szCs w:val="20"/>
              </w:rPr>
              <w:t>本规划与环境敏感目标位置关系</w:t>
            </w:r>
          </w:p>
        </w:tc>
        <w:tc>
          <w:tcPr>
            <w:tcW w:w="2398" w:type="dxa"/>
            <w:tcBorders>
              <w:top w:val="single" w:color="auto" w:sz="4" w:space="0"/>
              <w:left w:val="single" w:color="auto" w:sz="4" w:space="0"/>
              <w:bottom w:val="single" w:color="auto" w:sz="4" w:space="0"/>
              <w:right w:val="single" w:color="auto" w:sz="4" w:space="0"/>
            </w:tcBorders>
            <w:vAlign w:val="center"/>
          </w:tcPr>
          <w:p w14:paraId="3CB51850">
            <w:pPr>
              <w:spacing w:line="260" w:lineRule="exact"/>
              <w:jc w:val="center"/>
              <w:rPr>
                <w:color w:val="000000"/>
                <w:sz w:val="20"/>
                <w:szCs w:val="20"/>
              </w:rPr>
            </w:pPr>
            <w:r>
              <w:rPr>
                <w:color w:val="000000"/>
                <w:sz w:val="20"/>
                <w:szCs w:val="20"/>
              </w:rPr>
              <w:t>保护要求</w:t>
            </w:r>
          </w:p>
        </w:tc>
      </w:tr>
      <w:tr w14:paraId="7D73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restart"/>
            <w:tcBorders>
              <w:top w:val="single" w:color="auto" w:sz="4" w:space="0"/>
              <w:left w:val="single" w:color="auto" w:sz="4" w:space="0"/>
              <w:right w:val="single" w:color="auto" w:sz="4" w:space="0"/>
            </w:tcBorders>
            <w:vAlign w:val="center"/>
          </w:tcPr>
          <w:p w14:paraId="443F9BB9">
            <w:pPr>
              <w:spacing w:line="260" w:lineRule="exact"/>
              <w:jc w:val="center"/>
              <w:rPr>
                <w:color w:val="000000"/>
                <w:sz w:val="20"/>
                <w:szCs w:val="20"/>
              </w:rPr>
            </w:pPr>
            <w:r>
              <w:rPr>
                <w:rFonts w:hint="eastAsia"/>
                <w:color w:val="000000"/>
                <w:sz w:val="20"/>
                <w:szCs w:val="20"/>
              </w:rPr>
              <w:t>生态</w:t>
            </w: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1236122F">
            <w:pPr>
              <w:spacing w:line="260" w:lineRule="exact"/>
              <w:jc w:val="center"/>
              <w:rPr>
                <w:color w:val="000000"/>
                <w:sz w:val="20"/>
                <w:szCs w:val="20"/>
              </w:rPr>
            </w:pPr>
            <w:r>
              <w:rPr>
                <w:rFonts w:hint="eastAsia"/>
                <w:color w:val="000000"/>
                <w:sz w:val="20"/>
                <w:szCs w:val="20"/>
              </w:rPr>
              <w:t>生态保护红线</w:t>
            </w:r>
          </w:p>
        </w:tc>
        <w:tc>
          <w:tcPr>
            <w:tcW w:w="4171" w:type="dxa"/>
            <w:tcBorders>
              <w:top w:val="single" w:color="auto" w:sz="4" w:space="0"/>
              <w:left w:val="single" w:color="auto" w:sz="4" w:space="0"/>
              <w:bottom w:val="single" w:color="auto" w:sz="4" w:space="0"/>
              <w:right w:val="single" w:color="auto" w:sz="4" w:space="0"/>
            </w:tcBorders>
            <w:vAlign w:val="center"/>
          </w:tcPr>
          <w:p w14:paraId="7DEE21BA">
            <w:pPr>
              <w:spacing w:line="260" w:lineRule="exact"/>
              <w:jc w:val="center"/>
              <w:rPr>
                <w:color w:val="000000"/>
                <w:sz w:val="20"/>
                <w:szCs w:val="20"/>
              </w:rPr>
            </w:pPr>
            <w:r>
              <w:rPr>
                <w:rFonts w:hint="eastAsia"/>
                <w:color w:val="000000"/>
                <w:sz w:val="20"/>
                <w:szCs w:val="20"/>
              </w:rPr>
              <w:t>规划矿区评价范围内分布有大娄山-赤水河水源涵养（水源涵养类型）和赤水河生物多样性（生物多样性维护类型）生态保护红线</w:t>
            </w:r>
          </w:p>
        </w:tc>
        <w:tc>
          <w:tcPr>
            <w:tcW w:w="4111" w:type="dxa"/>
            <w:tcBorders>
              <w:top w:val="single" w:color="auto" w:sz="4" w:space="0"/>
              <w:left w:val="single" w:color="auto" w:sz="4" w:space="0"/>
              <w:bottom w:val="single" w:color="auto" w:sz="4" w:space="0"/>
              <w:right w:val="single" w:color="auto" w:sz="4" w:space="0"/>
            </w:tcBorders>
            <w:vAlign w:val="center"/>
          </w:tcPr>
          <w:p w14:paraId="11A15F49">
            <w:pPr>
              <w:spacing w:line="260" w:lineRule="exact"/>
              <w:jc w:val="center"/>
              <w:rPr>
                <w:color w:val="000000"/>
                <w:sz w:val="20"/>
                <w:szCs w:val="20"/>
              </w:rPr>
            </w:pPr>
            <w:r>
              <w:rPr>
                <w:rFonts w:hint="eastAsia"/>
                <w:b/>
                <w:bCs/>
                <w:color w:val="000000"/>
                <w:sz w:val="20"/>
                <w:szCs w:val="20"/>
              </w:rPr>
              <w:t>规划矿区外，</w:t>
            </w:r>
            <w:r>
              <w:rPr>
                <w:rFonts w:hint="eastAsia"/>
                <w:color w:val="000000"/>
                <w:sz w:val="20"/>
                <w:szCs w:val="20"/>
              </w:rPr>
              <w:t>距规划矿区边界最近距离5m（生物多样性维护）、10m（水源涵养）</w:t>
            </w:r>
          </w:p>
        </w:tc>
        <w:tc>
          <w:tcPr>
            <w:tcW w:w="2398" w:type="dxa"/>
            <w:tcBorders>
              <w:top w:val="single" w:color="auto" w:sz="4" w:space="0"/>
              <w:left w:val="single" w:color="auto" w:sz="4" w:space="0"/>
              <w:bottom w:val="single" w:color="auto" w:sz="4" w:space="0"/>
              <w:right w:val="single" w:color="auto" w:sz="4" w:space="0"/>
            </w:tcBorders>
            <w:vAlign w:val="center"/>
          </w:tcPr>
          <w:p w14:paraId="3567033A">
            <w:pPr>
              <w:spacing w:line="260" w:lineRule="exact"/>
              <w:jc w:val="center"/>
              <w:rPr>
                <w:color w:val="000000"/>
                <w:sz w:val="20"/>
                <w:szCs w:val="20"/>
              </w:rPr>
            </w:pPr>
            <w:r>
              <w:rPr>
                <w:rFonts w:hint="eastAsia"/>
                <w:color w:val="000000"/>
                <w:sz w:val="20"/>
                <w:szCs w:val="20"/>
              </w:rPr>
              <w:t>不占用生态保护红线，不破坏其功能</w:t>
            </w:r>
          </w:p>
        </w:tc>
      </w:tr>
      <w:tr w14:paraId="5D32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7473A9B2">
            <w:pPr>
              <w:spacing w:line="260" w:lineRule="exact"/>
              <w:jc w:val="center"/>
              <w:rPr>
                <w:color w:val="000000"/>
                <w:sz w:val="20"/>
                <w:szCs w:val="20"/>
              </w:rPr>
            </w:pPr>
          </w:p>
        </w:tc>
        <w:tc>
          <w:tcPr>
            <w:tcW w:w="909" w:type="dxa"/>
            <w:tcBorders>
              <w:top w:val="single" w:color="auto" w:sz="4" w:space="0"/>
              <w:left w:val="single" w:color="auto" w:sz="4" w:space="0"/>
              <w:right w:val="single" w:color="auto" w:sz="4" w:space="0"/>
            </w:tcBorders>
            <w:vAlign w:val="center"/>
          </w:tcPr>
          <w:p w14:paraId="5F8A85BF">
            <w:pPr>
              <w:spacing w:line="260" w:lineRule="exact"/>
              <w:jc w:val="center"/>
              <w:rPr>
                <w:color w:val="000000"/>
                <w:sz w:val="20"/>
                <w:szCs w:val="20"/>
              </w:rPr>
            </w:pPr>
            <w:r>
              <w:rPr>
                <w:rFonts w:hint="eastAsia"/>
                <w:color w:val="000000"/>
                <w:sz w:val="20"/>
                <w:szCs w:val="20"/>
              </w:rPr>
              <w:t>自然保护区</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6B4E433E">
            <w:pPr>
              <w:spacing w:line="260" w:lineRule="exact"/>
              <w:jc w:val="center"/>
              <w:rPr>
                <w:color w:val="000000"/>
                <w:sz w:val="20"/>
                <w:szCs w:val="20"/>
              </w:rPr>
            </w:pPr>
            <w:r>
              <w:rPr>
                <w:rFonts w:hint="eastAsia"/>
                <w:color w:val="000000"/>
                <w:kern w:val="0"/>
                <w:sz w:val="20"/>
                <w:szCs w:val="20"/>
              </w:rPr>
              <w:t>长江上游珍稀、特有鱼类自然保护区</w:t>
            </w:r>
          </w:p>
        </w:tc>
        <w:tc>
          <w:tcPr>
            <w:tcW w:w="4171" w:type="dxa"/>
            <w:tcBorders>
              <w:top w:val="single" w:color="auto" w:sz="4" w:space="0"/>
              <w:left w:val="single" w:color="auto" w:sz="4" w:space="0"/>
              <w:bottom w:val="single" w:color="auto" w:sz="4" w:space="0"/>
              <w:right w:val="single" w:color="auto" w:sz="4" w:space="0"/>
            </w:tcBorders>
            <w:vAlign w:val="center"/>
          </w:tcPr>
          <w:p w14:paraId="744C6747">
            <w:pPr>
              <w:spacing w:line="260" w:lineRule="exact"/>
              <w:jc w:val="center"/>
              <w:rPr>
                <w:color w:val="000000"/>
                <w:sz w:val="20"/>
                <w:szCs w:val="20"/>
              </w:rPr>
            </w:pPr>
            <w:r>
              <w:rPr>
                <w:rFonts w:hint="eastAsia"/>
                <w:color w:val="000000"/>
                <w:kern w:val="0"/>
                <w:sz w:val="20"/>
                <w:szCs w:val="20"/>
              </w:rPr>
              <w:t>国家级，主要保护对象为达氏鲟、白鲟和胭脂鱼等鱼类</w:t>
            </w:r>
          </w:p>
        </w:tc>
        <w:tc>
          <w:tcPr>
            <w:tcW w:w="4111" w:type="dxa"/>
            <w:tcBorders>
              <w:top w:val="single" w:color="auto" w:sz="4" w:space="0"/>
              <w:left w:val="single" w:color="auto" w:sz="4" w:space="0"/>
              <w:bottom w:val="single" w:color="auto" w:sz="4" w:space="0"/>
              <w:right w:val="single" w:color="auto" w:sz="4" w:space="0"/>
            </w:tcBorders>
            <w:vAlign w:val="center"/>
          </w:tcPr>
          <w:p w14:paraId="180AF7B6">
            <w:pPr>
              <w:spacing w:line="260" w:lineRule="exact"/>
              <w:jc w:val="center"/>
              <w:rPr>
                <w:color w:val="000000"/>
                <w:sz w:val="20"/>
                <w:szCs w:val="20"/>
              </w:rPr>
            </w:pPr>
            <w:r>
              <w:rPr>
                <w:rFonts w:hint="eastAsia"/>
                <w:b/>
                <w:bCs/>
                <w:color w:val="000000"/>
                <w:kern w:val="0"/>
                <w:sz w:val="20"/>
                <w:szCs w:val="20"/>
              </w:rPr>
              <w:t>规划矿区外，</w:t>
            </w:r>
            <w:r>
              <w:rPr>
                <w:rFonts w:hint="eastAsia"/>
                <w:color w:val="000000"/>
                <w:kern w:val="0"/>
                <w:sz w:val="20"/>
                <w:szCs w:val="20"/>
              </w:rPr>
              <w:t>矿区西南侧，最近距离为规划改扩建的新兴宏能煤矿入河排污口（桐梓河，III类水体）下游5.5km</w:t>
            </w:r>
          </w:p>
        </w:tc>
        <w:tc>
          <w:tcPr>
            <w:tcW w:w="2398" w:type="dxa"/>
            <w:tcBorders>
              <w:top w:val="single" w:color="auto" w:sz="4" w:space="0"/>
              <w:left w:val="single" w:color="auto" w:sz="4" w:space="0"/>
              <w:right w:val="single" w:color="auto" w:sz="4" w:space="0"/>
            </w:tcBorders>
            <w:vAlign w:val="center"/>
          </w:tcPr>
          <w:p w14:paraId="6B1D8221">
            <w:pPr>
              <w:spacing w:line="260" w:lineRule="exact"/>
              <w:jc w:val="center"/>
              <w:rPr>
                <w:color w:val="000000"/>
                <w:sz w:val="20"/>
                <w:szCs w:val="20"/>
              </w:rPr>
            </w:pPr>
            <w:r>
              <w:rPr>
                <w:rFonts w:hint="eastAsia"/>
                <w:color w:val="000000"/>
                <w:kern w:val="0"/>
                <w:sz w:val="20"/>
                <w:szCs w:val="20"/>
              </w:rPr>
              <w:t>自然保护区不受采煤活动影响</w:t>
            </w:r>
          </w:p>
        </w:tc>
      </w:tr>
      <w:tr w14:paraId="1B8E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43A048D6">
            <w:pPr>
              <w:spacing w:line="260" w:lineRule="exact"/>
              <w:jc w:val="center"/>
              <w:rPr>
                <w:color w:val="000000"/>
                <w:sz w:val="20"/>
                <w:szCs w:val="20"/>
              </w:rPr>
            </w:pPr>
          </w:p>
        </w:tc>
        <w:tc>
          <w:tcPr>
            <w:tcW w:w="909" w:type="dxa"/>
            <w:tcBorders>
              <w:top w:val="single" w:color="auto" w:sz="4" w:space="0"/>
              <w:left w:val="single" w:color="auto" w:sz="4" w:space="0"/>
              <w:right w:val="single" w:color="auto" w:sz="4" w:space="0"/>
            </w:tcBorders>
            <w:vAlign w:val="center"/>
          </w:tcPr>
          <w:p w14:paraId="061C9300">
            <w:pPr>
              <w:spacing w:line="260" w:lineRule="exact"/>
              <w:jc w:val="center"/>
              <w:rPr>
                <w:color w:val="000000"/>
                <w:sz w:val="20"/>
                <w:szCs w:val="20"/>
              </w:rPr>
            </w:pPr>
            <w:r>
              <w:rPr>
                <w:rFonts w:hint="eastAsia"/>
                <w:color w:val="000000"/>
                <w:kern w:val="0"/>
                <w:sz w:val="20"/>
                <w:szCs w:val="20"/>
              </w:rPr>
              <w:t>自然公园</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736ACA49">
            <w:pPr>
              <w:spacing w:line="260" w:lineRule="exact"/>
              <w:jc w:val="center"/>
              <w:rPr>
                <w:color w:val="000000"/>
                <w:sz w:val="20"/>
                <w:szCs w:val="20"/>
              </w:rPr>
            </w:pPr>
            <w:r>
              <w:rPr>
                <w:rFonts w:hint="eastAsia"/>
                <w:color w:val="000000"/>
                <w:sz w:val="20"/>
                <w:szCs w:val="20"/>
              </w:rPr>
              <w:t>仁怀茅台风景名胜区美酒河景区</w:t>
            </w:r>
          </w:p>
        </w:tc>
        <w:tc>
          <w:tcPr>
            <w:tcW w:w="4171" w:type="dxa"/>
            <w:tcBorders>
              <w:top w:val="single" w:color="auto" w:sz="4" w:space="0"/>
              <w:left w:val="single" w:color="auto" w:sz="4" w:space="0"/>
              <w:bottom w:val="single" w:color="auto" w:sz="4" w:space="0"/>
              <w:right w:val="single" w:color="auto" w:sz="4" w:space="0"/>
            </w:tcBorders>
            <w:vAlign w:val="center"/>
          </w:tcPr>
          <w:p w14:paraId="1391262A">
            <w:pPr>
              <w:spacing w:line="260" w:lineRule="exact"/>
              <w:jc w:val="center"/>
              <w:rPr>
                <w:color w:val="000000"/>
                <w:sz w:val="20"/>
                <w:szCs w:val="20"/>
              </w:rPr>
            </w:pPr>
            <w:r>
              <w:rPr>
                <w:rFonts w:hint="eastAsia"/>
                <w:color w:val="000000"/>
                <w:sz w:val="20"/>
                <w:szCs w:val="20"/>
              </w:rPr>
              <w:t>省级，主要有“红军四渡赤水纪念塔”、“美酒河”摩崖石刻和石刻龙群景观等</w:t>
            </w:r>
          </w:p>
        </w:tc>
        <w:tc>
          <w:tcPr>
            <w:tcW w:w="4111" w:type="dxa"/>
            <w:tcBorders>
              <w:top w:val="single" w:color="auto" w:sz="4" w:space="0"/>
              <w:left w:val="single" w:color="auto" w:sz="4" w:space="0"/>
              <w:bottom w:val="single" w:color="auto" w:sz="4" w:space="0"/>
              <w:right w:val="single" w:color="auto" w:sz="4" w:space="0"/>
            </w:tcBorders>
            <w:vAlign w:val="center"/>
          </w:tcPr>
          <w:p w14:paraId="70F91B7D">
            <w:pPr>
              <w:spacing w:line="260" w:lineRule="exact"/>
              <w:jc w:val="center"/>
              <w:rPr>
                <w:color w:val="000000"/>
                <w:sz w:val="20"/>
                <w:szCs w:val="20"/>
              </w:rPr>
            </w:pPr>
            <w:r>
              <w:rPr>
                <w:rFonts w:hint="eastAsia"/>
                <w:b/>
                <w:bCs/>
                <w:color w:val="000000"/>
                <w:kern w:val="0"/>
                <w:sz w:val="20"/>
                <w:szCs w:val="20"/>
              </w:rPr>
              <w:t>规划区外</w:t>
            </w:r>
            <w:r>
              <w:rPr>
                <w:rFonts w:hint="eastAsia"/>
                <w:color w:val="000000"/>
                <w:kern w:val="0"/>
                <w:sz w:val="20"/>
                <w:szCs w:val="20"/>
              </w:rPr>
              <w:t>，距最近的井田（新兴宏能井田）3.0km，最近勘查区（二郎勘查区）10km，互不可视。不在本次评价范围内</w:t>
            </w:r>
          </w:p>
        </w:tc>
        <w:tc>
          <w:tcPr>
            <w:tcW w:w="2398" w:type="dxa"/>
            <w:tcBorders>
              <w:top w:val="single" w:color="auto" w:sz="4" w:space="0"/>
              <w:left w:val="single" w:color="auto" w:sz="4" w:space="0"/>
              <w:right w:val="single" w:color="auto" w:sz="4" w:space="0"/>
            </w:tcBorders>
            <w:vAlign w:val="center"/>
          </w:tcPr>
          <w:p w14:paraId="315A18E1">
            <w:pPr>
              <w:spacing w:line="260" w:lineRule="exact"/>
              <w:jc w:val="center"/>
              <w:rPr>
                <w:color w:val="000000"/>
                <w:sz w:val="20"/>
                <w:szCs w:val="20"/>
              </w:rPr>
            </w:pPr>
            <w:r>
              <w:rPr>
                <w:rFonts w:hint="eastAsia"/>
                <w:color w:val="000000"/>
                <w:kern w:val="0"/>
                <w:sz w:val="20"/>
                <w:szCs w:val="20"/>
              </w:rPr>
              <w:t>自然公园不受采煤活动影响</w:t>
            </w:r>
          </w:p>
        </w:tc>
      </w:tr>
      <w:tr w14:paraId="6462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101B861D">
            <w:pPr>
              <w:spacing w:line="260" w:lineRule="exact"/>
              <w:jc w:val="center"/>
              <w:rPr>
                <w:color w:val="000000"/>
                <w:sz w:val="20"/>
                <w:szCs w:val="20"/>
              </w:rPr>
            </w:pPr>
          </w:p>
        </w:tc>
        <w:tc>
          <w:tcPr>
            <w:tcW w:w="2628" w:type="dxa"/>
            <w:gridSpan w:val="3"/>
            <w:tcBorders>
              <w:left w:val="single" w:color="auto" w:sz="4" w:space="0"/>
              <w:bottom w:val="single" w:color="auto" w:sz="4" w:space="0"/>
              <w:right w:val="single" w:color="auto" w:sz="4" w:space="0"/>
            </w:tcBorders>
            <w:vAlign w:val="center"/>
          </w:tcPr>
          <w:p w14:paraId="26111231">
            <w:pPr>
              <w:spacing w:line="260" w:lineRule="exact"/>
              <w:jc w:val="center"/>
              <w:rPr>
                <w:color w:val="000000"/>
                <w:kern w:val="0"/>
                <w:sz w:val="20"/>
                <w:szCs w:val="20"/>
              </w:rPr>
            </w:pPr>
            <w:r>
              <w:rPr>
                <w:rFonts w:hint="eastAsia"/>
                <w:color w:val="000000"/>
                <w:kern w:val="0"/>
                <w:sz w:val="20"/>
                <w:szCs w:val="20"/>
              </w:rPr>
              <w:t>文物古迹</w:t>
            </w:r>
          </w:p>
        </w:tc>
        <w:tc>
          <w:tcPr>
            <w:tcW w:w="4171" w:type="dxa"/>
            <w:tcBorders>
              <w:top w:val="single" w:color="auto" w:sz="4" w:space="0"/>
              <w:left w:val="single" w:color="auto" w:sz="4" w:space="0"/>
              <w:bottom w:val="single" w:color="auto" w:sz="4" w:space="0"/>
              <w:right w:val="single" w:color="auto" w:sz="4" w:space="0"/>
            </w:tcBorders>
            <w:vAlign w:val="center"/>
          </w:tcPr>
          <w:p w14:paraId="2EBFF149">
            <w:pPr>
              <w:spacing w:line="260" w:lineRule="exact"/>
              <w:jc w:val="center"/>
              <w:rPr>
                <w:sz w:val="20"/>
                <w:szCs w:val="20"/>
              </w:rPr>
            </w:pPr>
            <w:r>
              <w:rPr>
                <w:rFonts w:hint="eastAsia"/>
                <w:sz w:val="20"/>
                <w:szCs w:val="20"/>
              </w:rPr>
              <w:t>习水县境内分布有省、市、县级文物单位共计14处，文物划定有10~50m不等的建设管控范围</w:t>
            </w:r>
          </w:p>
        </w:tc>
        <w:tc>
          <w:tcPr>
            <w:tcW w:w="4111" w:type="dxa"/>
            <w:tcBorders>
              <w:top w:val="single" w:color="auto" w:sz="4" w:space="0"/>
              <w:left w:val="single" w:color="auto" w:sz="4" w:space="0"/>
              <w:bottom w:val="single" w:color="auto" w:sz="4" w:space="0"/>
              <w:right w:val="single" w:color="auto" w:sz="4" w:space="0"/>
            </w:tcBorders>
            <w:vAlign w:val="center"/>
          </w:tcPr>
          <w:p w14:paraId="2BECDB40">
            <w:pPr>
              <w:spacing w:line="260" w:lineRule="exact"/>
              <w:jc w:val="center"/>
              <w:rPr>
                <w:sz w:val="20"/>
                <w:szCs w:val="20"/>
              </w:rPr>
            </w:pPr>
            <w:r>
              <w:rPr>
                <w:rFonts w:hint="eastAsia"/>
                <w:sz w:val="20"/>
                <w:szCs w:val="20"/>
              </w:rPr>
              <w:t>本次生态评价范围内分布有文物3处，均为县级，分别为打油洞遗址（双龙勘查区西南侧，规划井田外，距离最近的兴隆井田500m）、楠木洞摩崖（规划矿区外，距离最近利达井田480m）、永安碉堡（位于规划的永安东北侧井田内）</w:t>
            </w:r>
          </w:p>
        </w:tc>
        <w:tc>
          <w:tcPr>
            <w:tcW w:w="2398" w:type="dxa"/>
            <w:tcBorders>
              <w:left w:val="single" w:color="auto" w:sz="4" w:space="0"/>
              <w:bottom w:val="single" w:color="auto" w:sz="4" w:space="0"/>
              <w:right w:val="single" w:color="auto" w:sz="4" w:space="0"/>
            </w:tcBorders>
            <w:vAlign w:val="center"/>
          </w:tcPr>
          <w:p w14:paraId="11B1F598">
            <w:pPr>
              <w:spacing w:line="260" w:lineRule="exact"/>
              <w:jc w:val="center"/>
              <w:rPr>
                <w:color w:val="000000"/>
                <w:sz w:val="20"/>
                <w:szCs w:val="20"/>
              </w:rPr>
            </w:pPr>
            <w:r>
              <w:rPr>
                <w:rFonts w:hint="eastAsia"/>
                <w:color w:val="000000"/>
                <w:sz w:val="20"/>
                <w:szCs w:val="20"/>
              </w:rPr>
              <w:t>通过避让、留设保护煤柱等方式确保文物保护单位不受采煤活动影响</w:t>
            </w:r>
          </w:p>
        </w:tc>
      </w:tr>
      <w:tr w14:paraId="5464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7AC13E41">
            <w:pPr>
              <w:widowControl/>
              <w:spacing w:line="260" w:lineRule="exact"/>
              <w:jc w:val="lef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5F86AF67">
            <w:pPr>
              <w:spacing w:line="260" w:lineRule="exact"/>
              <w:jc w:val="center"/>
              <w:rPr>
                <w:color w:val="000000"/>
                <w:sz w:val="20"/>
                <w:szCs w:val="20"/>
              </w:rPr>
            </w:pPr>
            <w:r>
              <w:rPr>
                <w:rFonts w:hint="eastAsia"/>
                <w:color w:val="000000"/>
                <w:sz w:val="20"/>
                <w:szCs w:val="20"/>
              </w:rPr>
              <w:t>永久</w:t>
            </w:r>
            <w:r>
              <w:rPr>
                <w:color w:val="000000"/>
                <w:sz w:val="20"/>
                <w:szCs w:val="20"/>
              </w:rPr>
              <w:t>基本农田</w:t>
            </w:r>
          </w:p>
        </w:tc>
        <w:tc>
          <w:tcPr>
            <w:tcW w:w="4171" w:type="dxa"/>
            <w:tcBorders>
              <w:top w:val="single" w:color="auto" w:sz="4" w:space="0"/>
              <w:left w:val="single" w:color="auto" w:sz="4" w:space="0"/>
              <w:bottom w:val="single" w:color="auto" w:sz="4" w:space="0"/>
              <w:right w:val="single" w:color="auto" w:sz="4" w:space="0"/>
            </w:tcBorders>
            <w:vAlign w:val="center"/>
          </w:tcPr>
          <w:p w14:paraId="6D328F3F">
            <w:pPr>
              <w:spacing w:line="260" w:lineRule="exact"/>
              <w:jc w:val="center"/>
              <w:rPr>
                <w:sz w:val="20"/>
                <w:szCs w:val="20"/>
              </w:rPr>
            </w:pPr>
            <w:r>
              <w:rPr>
                <w:rFonts w:hint="eastAsia"/>
                <w:sz w:val="20"/>
                <w:szCs w:val="20"/>
              </w:rPr>
              <w:t>永久基本农田在习水县各乡镇均有分布</w:t>
            </w:r>
          </w:p>
        </w:tc>
        <w:tc>
          <w:tcPr>
            <w:tcW w:w="4111" w:type="dxa"/>
            <w:tcBorders>
              <w:top w:val="single" w:color="auto" w:sz="4" w:space="0"/>
              <w:left w:val="single" w:color="auto" w:sz="4" w:space="0"/>
              <w:bottom w:val="single" w:color="auto" w:sz="4" w:space="0"/>
              <w:right w:val="single" w:color="auto" w:sz="4" w:space="0"/>
            </w:tcBorders>
            <w:vAlign w:val="center"/>
          </w:tcPr>
          <w:p w14:paraId="1B78AC51">
            <w:pPr>
              <w:spacing w:line="260" w:lineRule="exact"/>
              <w:jc w:val="center"/>
              <w:rPr>
                <w:sz w:val="20"/>
                <w:szCs w:val="20"/>
              </w:rPr>
            </w:pPr>
            <w:r>
              <w:rPr>
                <w:rFonts w:hint="eastAsia"/>
                <w:sz w:val="20"/>
                <w:szCs w:val="20"/>
              </w:rPr>
              <w:t>工业场地占地均不涉及，井田范围内不连续分布；本次规划矿区范围内共有永久基本农田约</w:t>
            </w:r>
            <w:r>
              <w:rPr>
                <w:sz w:val="20"/>
                <w:szCs w:val="20"/>
              </w:rPr>
              <w:t>2285.90</w:t>
            </w:r>
            <w:r>
              <w:rPr>
                <w:rFonts w:hint="eastAsia"/>
                <w:sz w:val="20"/>
                <w:szCs w:val="20"/>
              </w:rPr>
              <w:t>hm</w:t>
            </w:r>
            <w:r>
              <w:rPr>
                <w:sz w:val="20"/>
                <w:szCs w:val="20"/>
                <w:vertAlign w:val="superscript"/>
              </w:rPr>
              <w:t>2</w:t>
            </w:r>
            <w:r>
              <w:rPr>
                <w:rFonts w:hint="eastAsia"/>
                <w:sz w:val="20"/>
                <w:szCs w:val="20"/>
              </w:rPr>
              <w:t>，规划井田内共有永久基本农田约1429.12hm</w:t>
            </w:r>
            <w:r>
              <w:rPr>
                <w:sz w:val="20"/>
                <w:szCs w:val="20"/>
                <w:vertAlign w:val="superscript"/>
              </w:rPr>
              <w:t>2</w:t>
            </w:r>
          </w:p>
        </w:tc>
        <w:tc>
          <w:tcPr>
            <w:tcW w:w="2398" w:type="dxa"/>
            <w:tcBorders>
              <w:top w:val="single" w:color="auto" w:sz="4" w:space="0"/>
              <w:left w:val="single" w:color="auto" w:sz="4" w:space="0"/>
              <w:bottom w:val="single" w:color="auto" w:sz="4" w:space="0"/>
              <w:right w:val="single" w:color="auto" w:sz="4" w:space="0"/>
            </w:tcBorders>
            <w:vAlign w:val="center"/>
          </w:tcPr>
          <w:p w14:paraId="464B7048">
            <w:pPr>
              <w:spacing w:line="260" w:lineRule="exact"/>
              <w:rPr>
                <w:color w:val="000000"/>
                <w:sz w:val="20"/>
                <w:szCs w:val="20"/>
                <w:lang w:bidi="en-US"/>
              </w:rPr>
            </w:pPr>
            <w:r>
              <w:rPr>
                <w:color w:val="000000"/>
                <w:sz w:val="20"/>
                <w:szCs w:val="20"/>
                <w:lang w:bidi="en-US"/>
              </w:rPr>
              <w:t>矿区基本农田受煤矿开发过程中地表沉陷影响可控</w:t>
            </w:r>
          </w:p>
        </w:tc>
      </w:tr>
      <w:tr w14:paraId="5B09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4BDF747A">
            <w:pPr>
              <w:widowControl/>
              <w:spacing w:line="260" w:lineRule="exact"/>
              <w:jc w:val="left"/>
              <w:rPr>
                <w:color w:val="000000"/>
                <w:sz w:val="20"/>
                <w:szCs w:val="20"/>
              </w:rPr>
            </w:pPr>
          </w:p>
        </w:tc>
        <w:tc>
          <w:tcPr>
            <w:tcW w:w="909" w:type="dxa"/>
            <w:tcBorders>
              <w:top w:val="single" w:color="auto" w:sz="4" w:space="0"/>
              <w:left w:val="single" w:color="auto" w:sz="4" w:space="0"/>
              <w:right w:val="single" w:color="auto" w:sz="4" w:space="0"/>
            </w:tcBorders>
            <w:vAlign w:val="center"/>
          </w:tcPr>
          <w:p w14:paraId="13F5BD89">
            <w:pPr>
              <w:spacing w:line="260" w:lineRule="exact"/>
              <w:jc w:val="center"/>
              <w:rPr>
                <w:color w:val="000000"/>
                <w:sz w:val="20"/>
                <w:szCs w:val="20"/>
              </w:rPr>
            </w:pPr>
            <w:r>
              <w:rPr>
                <w:color w:val="000000"/>
                <w:sz w:val="20"/>
                <w:szCs w:val="20"/>
              </w:rPr>
              <w:t>水土流失区</w:t>
            </w:r>
          </w:p>
        </w:tc>
        <w:tc>
          <w:tcPr>
            <w:tcW w:w="1719" w:type="dxa"/>
            <w:gridSpan w:val="2"/>
            <w:tcBorders>
              <w:top w:val="single" w:color="auto" w:sz="4" w:space="0"/>
              <w:left w:val="single" w:color="auto" w:sz="4" w:space="0"/>
              <w:right w:val="single" w:color="auto" w:sz="4" w:space="0"/>
            </w:tcBorders>
            <w:vAlign w:val="center"/>
          </w:tcPr>
          <w:p w14:paraId="4F3F256A">
            <w:pPr>
              <w:spacing w:line="260" w:lineRule="exact"/>
              <w:jc w:val="center"/>
              <w:rPr>
                <w:color w:val="000000"/>
                <w:sz w:val="20"/>
                <w:szCs w:val="20"/>
              </w:rPr>
            </w:pPr>
            <w:r>
              <w:rPr>
                <w:color w:val="000000"/>
                <w:sz w:val="20"/>
                <w:szCs w:val="20"/>
              </w:rPr>
              <w:t>水土流失</w:t>
            </w:r>
            <w:r>
              <w:rPr>
                <w:rFonts w:hint="eastAsia"/>
                <w:color w:val="000000"/>
                <w:sz w:val="20"/>
                <w:szCs w:val="20"/>
              </w:rPr>
              <w:t>重点</w:t>
            </w:r>
            <w:r>
              <w:rPr>
                <w:color w:val="000000"/>
                <w:sz w:val="20"/>
                <w:szCs w:val="20"/>
              </w:rPr>
              <w:t>治理区</w:t>
            </w:r>
          </w:p>
        </w:tc>
        <w:tc>
          <w:tcPr>
            <w:tcW w:w="4171" w:type="dxa"/>
            <w:tcBorders>
              <w:top w:val="single" w:color="auto" w:sz="4" w:space="0"/>
              <w:left w:val="single" w:color="auto" w:sz="4" w:space="0"/>
              <w:right w:val="single" w:color="auto" w:sz="4" w:space="0"/>
            </w:tcBorders>
            <w:vAlign w:val="center"/>
          </w:tcPr>
          <w:p w14:paraId="2618D03F">
            <w:pPr>
              <w:spacing w:line="260" w:lineRule="exact"/>
              <w:jc w:val="center"/>
              <w:rPr>
                <w:sz w:val="20"/>
                <w:szCs w:val="20"/>
              </w:rPr>
            </w:pPr>
            <w:r>
              <w:rPr>
                <w:rFonts w:hint="eastAsia"/>
                <w:sz w:val="20"/>
                <w:szCs w:val="20"/>
              </w:rPr>
              <w:t>全县水土流失面积达1100.63km</w:t>
            </w:r>
            <w:r>
              <w:rPr>
                <w:rFonts w:hint="eastAsia"/>
                <w:sz w:val="20"/>
                <w:szCs w:val="20"/>
                <w:vertAlign w:val="superscript"/>
              </w:rPr>
              <w:t>2</w:t>
            </w:r>
            <w:r>
              <w:rPr>
                <w:rFonts w:hint="eastAsia"/>
                <w:sz w:val="20"/>
                <w:szCs w:val="20"/>
              </w:rPr>
              <w:t>，涉及水土流失和石漠化，</w:t>
            </w:r>
            <w:r>
              <w:rPr>
                <w:sz w:val="20"/>
                <w:szCs w:val="20"/>
              </w:rPr>
              <w:t>水土资源流失较多，土地生产力下降</w:t>
            </w:r>
            <w:r>
              <w:rPr>
                <w:rFonts w:hint="eastAsia"/>
                <w:sz w:val="20"/>
                <w:szCs w:val="20"/>
              </w:rPr>
              <w:t>，</w:t>
            </w:r>
            <w:r>
              <w:rPr>
                <w:sz w:val="20"/>
                <w:szCs w:val="20"/>
              </w:rPr>
              <w:t>甚至出现严重灾害如滑坡、泥石流、暴雨洪水</w:t>
            </w:r>
          </w:p>
        </w:tc>
        <w:tc>
          <w:tcPr>
            <w:tcW w:w="4111" w:type="dxa"/>
            <w:tcBorders>
              <w:top w:val="single" w:color="auto" w:sz="4" w:space="0"/>
              <w:left w:val="single" w:color="auto" w:sz="4" w:space="0"/>
              <w:right w:val="single" w:color="auto" w:sz="4" w:space="0"/>
            </w:tcBorders>
            <w:vAlign w:val="center"/>
          </w:tcPr>
          <w:p w14:paraId="42CF38C5">
            <w:pPr>
              <w:spacing w:line="260" w:lineRule="exact"/>
              <w:jc w:val="center"/>
              <w:rPr>
                <w:sz w:val="20"/>
                <w:szCs w:val="20"/>
              </w:rPr>
            </w:pPr>
            <w:r>
              <w:rPr>
                <w:rFonts w:hint="eastAsia"/>
                <w:sz w:val="20"/>
                <w:szCs w:val="20"/>
              </w:rPr>
              <w:t>规划矿区涉及回龙、桑木、永安、二里、双龙、桃林、官店、仙源等8个乡镇涉及水土流失治理；永安、桃林、双龙等3个乡镇涉及石漠化治理</w:t>
            </w:r>
          </w:p>
        </w:tc>
        <w:tc>
          <w:tcPr>
            <w:tcW w:w="2398" w:type="dxa"/>
            <w:tcBorders>
              <w:top w:val="single" w:color="auto" w:sz="4" w:space="0"/>
              <w:left w:val="single" w:color="auto" w:sz="4" w:space="0"/>
              <w:right w:val="single" w:color="auto" w:sz="4" w:space="0"/>
            </w:tcBorders>
            <w:vAlign w:val="center"/>
          </w:tcPr>
          <w:p w14:paraId="2BD6AE1A">
            <w:pPr>
              <w:spacing w:line="260" w:lineRule="exact"/>
              <w:rPr>
                <w:color w:val="000000"/>
                <w:sz w:val="20"/>
                <w:szCs w:val="20"/>
                <w:lang w:bidi="en-US"/>
              </w:rPr>
            </w:pPr>
            <w:r>
              <w:rPr>
                <w:rFonts w:hint="eastAsia"/>
                <w:color w:val="000000"/>
                <w:sz w:val="20"/>
                <w:szCs w:val="20"/>
              </w:rPr>
              <w:t>重点治理区以治理水土流失和石漠化、改善生产条件和生态环境为主</w:t>
            </w:r>
          </w:p>
        </w:tc>
      </w:tr>
      <w:tr w14:paraId="3E77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2596C2DC">
            <w:pPr>
              <w:widowControl/>
              <w:spacing w:line="260" w:lineRule="exact"/>
              <w:jc w:val="left"/>
              <w:rPr>
                <w:color w:val="000000"/>
                <w:sz w:val="20"/>
                <w:szCs w:val="20"/>
              </w:rPr>
            </w:pPr>
          </w:p>
        </w:tc>
        <w:tc>
          <w:tcPr>
            <w:tcW w:w="909" w:type="dxa"/>
            <w:vMerge w:val="restart"/>
            <w:tcBorders>
              <w:top w:val="single" w:color="auto" w:sz="4" w:space="0"/>
              <w:left w:val="single" w:color="auto" w:sz="4" w:space="0"/>
              <w:right w:val="single" w:color="auto" w:sz="4" w:space="0"/>
            </w:tcBorders>
            <w:vAlign w:val="center"/>
          </w:tcPr>
          <w:p w14:paraId="51283319">
            <w:pPr>
              <w:spacing w:line="260" w:lineRule="exact"/>
              <w:rPr>
                <w:color w:val="000000"/>
                <w:sz w:val="20"/>
                <w:szCs w:val="20"/>
              </w:rPr>
            </w:pPr>
            <w:r>
              <w:rPr>
                <w:color w:val="000000"/>
                <w:sz w:val="20"/>
                <w:szCs w:val="20"/>
              </w:rPr>
              <w:t>公益林</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6E34FD30">
            <w:pPr>
              <w:spacing w:line="260" w:lineRule="exact"/>
              <w:jc w:val="center"/>
              <w:rPr>
                <w:color w:val="000000"/>
                <w:sz w:val="20"/>
                <w:szCs w:val="20"/>
              </w:rPr>
            </w:pPr>
            <w:r>
              <w:rPr>
                <w:color w:val="000000"/>
                <w:sz w:val="20"/>
                <w:szCs w:val="20"/>
              </w:rPr>
              <w:t>二级</w:t>
            </w:r>
            <w:r>
              <w:rPr>
                <w:rFonts w:hint="eastAsia"/>
                <w:color w:val="000000"/>
                <w:sz w:val="20"/>
                <w:szCs w:val="20"/>
              </w:rPr>
              <w:t>国家级</w:t>
            </w:r>
            <w:r>
              <w:rPr>
                <w:color w:val="000000"/>
                <w:sz w:val="20"/>
                <w:szCs w:val="20"/>
              </w:rPr>
              <w:t>公益林</w:t>
            </w:r>
          </w:p>
        </w:tc>
        <w:tc>
          <w:tcPr>
            <w:tcW w:w="4171" w:type="dxa"/>
            <w:vMerge w:val="restart"/>
            <w:tcBorders>
              <w:top w:val="single" w:color="auto" w:sz="4" w:space="0"/>
              <w:left w:val="single" w:color="auto" w:sz="4" w:space="0"/>
              <w:right w:val="single" w:color="auto" w:sz="4" w:space="0"/>
            </w:tcBorders>
            <w:vAlign w:val="center"/>
          </w:tcPr>
          <w:p w14:paraId="11ECD136">
            <w:pPr>
              <w:spacing w:line="260" w:lineRule="exact"/>
              <w:jc w:val="center"/>
              <w:rPr>
                <w:sz w:val="20"/>
                <w:szCs w:val="20"/>
              </w:rPr>
            </w:pPr>
            <w:r>
              <w:rPr>
                <w:rFonts w:hint="eastAsia"/>
                <w:sz w:val="20"/>
                <w:szCs w:val="20"/>
              </w:rPr>
              <w:t>规划矿区不涉及一级国家级公益林，评价范围内</w:t>
            </w:r>
            <w:r>
              <w:rPr>
                <w:sz w:val="20"/>
                <w:szCs w:val="20"/>
              </w:rPr>
              <w:t>公益林</w:t>
            </w:r>
            <w:r>
              <w:rPr>
                <w:rFonts w:hint="eastAsia"/>
                <w:sz w:val="20"/>
                <w:szCs w:val="20"/>
              </w:rPr>
              <w:t>全部为二级国家级公益林和地方公益林，以人工促进天然林为主，主要为马尾松、栓皮栎、麻栎、桉树等</w:t>
            </w:r>
          </w:p>
        </w:tc>
        <w:tc>
          <w:tcPr>
            <w:tcW w:w="4111" w:type="dxa"/>
            <w:tcBorders>
              <w:top w:val="single" w:color="auto" w:sz="4" w:space="0"/>
              <w:left w:val="single" w:color="auto" w:sz="4" w:space="0"/>
              <w:right w:val="single" w:color="auto" w:sz="4" w:space="0"/>
            </w:tcBorders>
            <w:vAlign w:val="center"/>
          </w:tcPr>
          <w:p w14:paraId="3FF7FD49">
            <w:pPr>
              <w:spacing w:line="260" w:lineRule="exact"/>
              <w:rPr>
                <w:sz w:val="20"/>
                <w:szCs w:val="20"/>
              </w:rPr>
            </w:pPr>
            <w:r>
              <w:rPr>
                <w:rFonts w:hint="eastAsia"/>
                <w:sz w:val="20"/>
                <w:szCs w:val="20"/>
              </w:rPr>
              <w:t>工业场地占地不涉及，井田范围内不连续分布，规划井田共有二级国家级公益林约639.23hm</w:t>
            </w:r>
            <w:r>
              <w:rPr>
                <w:rFonts w:hint="eastAsia"/>
                <w:sz w:val="20"/>
                <w:szCs w:val="20"/>
                <w:vertAlign w:val="superscript"/>
              </w:rPr>
              <w:t>2</w:t>
            </w:r>
          </w:p>
        </w:tc>
        <w:tc>
          <w:tcPr>
            <w:tcW w:w="2398" w:type="dxa"/>
            <w:vMerge w:val="restart"/>
            <w:tcBorders>
              <w:top w:val="single" w:color="auto" w:sz="4" w:space="0"/>
              <w:left w:val="single" w:color="auto" w:sz="4" w:space="0"/>
              <w:right w:val="single" w:color="auto" w:sz="4" w:space="0"/>
            </w:tcBorders>
            <w:vAlign w:val="center"/>
          </w:tcPr>
          <w:p w14:paraId="1A296B31">
            <w:pPr>
              <w:spacing w:line="260" w:lineRule="exact"/>
              <w:rPr>
                <w:color w:val="000000"/>
                <w:sz w:val="20"/>
                <w:szCs w:val="20"/>
                <w:lang w:bidi="en-US"/>
              </w:rPr>
            </w:pPr>
            <w:r>
              <w:rPr>
                <w:color w:val="000000"/>
                <w:sz w:val="20"/>
                <w:szCs w:val="20"/>
                <w:lang w:bidi="en-US"/>
              </w:rPr>
              <w:t>严格执行《国家级公益林管理办法》，合理利用林地资源</w:t>
            </w:r>
          </w:p>
        </w:tc>
      </w:tr>
      <w:tr w14:paraId="716E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6EB0F07C">
            <w:pPr>
              <w:widowControl/>
              <w:spacing w:line="260" w:lineRule="exact"/>
              <w:jc w:val="left"/>
              <w:rPr>
                <w:color w:val="000000"/>
                <w:sz w:val="20"/>
                <w:szCs w:val="20"/>
              </w:rPr>
            </w:pPr>
          </w:p>
        </w:tc>
        <w:tc>
          <w:tcPr>
            <w:tcW w:w="909" w:type="dxa"/>
            <w:vMerge w:val="continue"/>
            <w:tcBorders>
              <w:left w:val="single" w:color="auto" w:sz="4" w:space="0"/>
              <w:bottom w:val="single" w:color="auto" w:sz="4" w:space="0"/>
              <w:right w:val="single" w:color="auto" w:sz="4" w:space="0"/>
            </w:tcBorders>
            <w:vAlign w:val="center"/>
          </w:tcPr>
          <w:p w14:paraId="799E08B0">
            <w:pPr>
              <w:spacing w:line="260" w:lineRule="exact"/>
              <w:rPr>
                <w:color w:val="000000"/>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0E93B5F2">
            <w:pPr>
              <w:spacing w:line="260" w:lineRule="exact"/>
              <w:jc w:val="center"/>
              <w:rPr>
                <w:color w:val="000000"/>
                <w:sz w:val="20"/>
                <w:szCs w:val="20"/>
              </w:rPr>
            </w:pPr>
            <w:r>
              <w:rPr>
                <w:rFonts w:hint="eastAsia"/>
                <w:color w:val="000000"/>
                <w:sz w:val="20"/>
                <w:szCs w:val="20"/>
              </w:rPr>
              <w:t>地方公益林</w:t>
            </w:r>
          </w:p>
        </w:tc>
        <w:tc>
          <w:tcPr>
            <w:tcW w:w="4171" w:type="dxa"/>
            <w:vMerge w:val="continue"/>
            <w:tcBorders>
              <w:left w:val="single" w:color="auto" w:sz="4" w:space="0"/>
              <w:bottom w:val="single" w:color="auto" w:sz="4" w:space="0"/>
              <w:right w:val="single" w:color="auto" w:sz="4" w:space="0"/>
            </w:tcBorders>
            <w:vAlign w:val="center"/>
          </w:tcPr>
          <w:p w14:paraId="033F3022">
            <w:pPr>
              <w:spacing w:line="260" w:lineRule="exact"/>
              <w:rPr>
                <w:sz w:val="20"/>
                <w:szCs w:val="20"/>
              </w:rPr>
            </w:pPr>
          </w:p>
        </w:tc>
        <w:tc>
          <w:tcPr>
            <w:tcW w:w="4111" w:type="dxa"/>
            <w:tcBorders>
              <w:left w:val="single" w:color="auto" w:sz="4" w:space="0"/>
              <w:bottom w:val="single" w:color="auto" w:sz="4" w:space="0"/>
              <w:right w:val="single" w:color="auto" w:sz="4" w:space="0"/>
            </w:tcBorders>
            <w:vAlign w:val="center"/>
          </w:tcPr>
          <w:p w14:paraId="70C5D4AE">
            <w:pPr>
              <w:spacing w:line="260" w:lineRule="exact"/>
              <w:rPr>
                <w:sz w:val="20"/>
                <w:szCs w:val="20"/>
              </w:rPr>
            </w:pPr>
            <w:r>
              <w:rPr>
                <w:rFonts w:hint="eastAsia"/>
                <w:sz w:val="20"/>
                <w:szCs w:val="20"/>
              </w:rPr>
              <w:t>不连续分布，规划工业场地占地和规划井田有地方公益林面积分别为3.14hm</w:t>
            </w:r>
            <w:r>
              <w:rPr>
                <w:rFonts w:hint="eastAsia"/>
                <w:sz w:val="20"/>
                <w:szCs w:val="20"/>
                <w:vertAlign w:val="superscript"/>
              </w:rPr>
              <w:t>2</w:t>
            </w:r>
            <w:r>
              <w:rPr>
                <w:rFonts w:hint="eastAsia"/>
                <w:sz w:val="20"/>
                <w:szCs w:val="20"/>
              </w:rPr>
              <w:t>和1975.18hm</w:t>
            </w:r>
            <w:r>
              <w:rPr>
                <w:rFonts w:hint="eastAsia"/>
                <w:sz w:val="20"/>
                <w:szCs w:val="20"/>
                <w:vertAlign w:val="superscript"/>
              </w:rPr>
              <w:t>2</w:t>
            </w:r>
          </w:p>
        </w:tc>
        <w:tc>
          <w:tcPr>
            <w:tcW w:w="2398" w:type="dxa"/>
            <w:vMerge w:val="continue"/>
            <w:tcBorders>
              <w:left w:val="single" w:color="auto" w:sz="4" w:space="0"/>
              <w:bottom w:val="single" w:color="auto" w:sz="4" w:space="0"/>
              <w:right w:val="single" w:color="auto" w:sz="4" w:space="0"/>
            </w:tcBorders>
            <w:vAlign w:val="center"/>
          </w:tcPr>
          <w:p w14:paraId="1D3B8A05">
            <w:pPr>
              <w:spacing w:line="260" w:lineRule="exact"/>
              <w:rPr>
                <w:color w:val="000000"/>
                <w:sz w:val="20"/>
                <w:szCs w:val="20"/>
                <w:lang w:bidi="en-US"/>
              </w:rPr>
            </w:pPr>
          </w:p>
        </w:tc>
      </w:tr>
      <w:tr w14:paraId="34E2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Merge w:val="continue"/>
            <w:tcBorders>
              <w:left w:val="single" w:color="auto" w:sz="4" w:space="0"/>
              <w:right w:val="single" w:color="auto" w:sz="4" w:space="0"/>
            </w:tcBorders>
            <w:vAlign w:val="center"/>
          </w:tcPr>
          <w:p w14:paraId="4D6AD4DA">
            <w:pPr>
              <w:widowControl/>
              <w:spacing w:line="260" w:lineRule="exact"/>
              <w:jc w:val="lef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4BB5DD94">
            <w:pPr>
              <w:spacing w:line="260" w:lineRule="exact"/>
              <w:jc w:val="center"/>
              <w:rPr>
                <w:color w:val="000000"/>
                <w:sz w:val="20"/>
                <w:szCs w:val="20"/>
              </w:rPr>
            </w:pPr>
            <w:r>
              <w:rPr>
                <w:rFonts w:hint="eastAsia"/>
                <w:color w:val="000000"/>
                <w:sz w:val="20"/>
                <w:szCs w:val="20"/>
              </w:rPr>
              <w:t>天然林</w:t>
            </w:r>
          </w:p>
        </w:tc>
        <w:tc>
          <w:tcPr>
            <w:tcW w:w="4171" w:type="dxa"/>
            <w:tcBorders>
              <w:top w:val="single" w:color="auto" w:sz="4" w:space="0"/>
              <w:left w:val="single" w:color="auto" w:sz="4" w:space="0"/>
              <w:bottom w:val="single" w:color="auto" w:sz="4" w:space="0"/>
              <w:right w:val="single" w:color="auto" w:sz="4" w:space="0"/>
            </w:tcBorders>
            <w:vAlign w:val="center"/>
          </w:tcPr>
          <w:p w14:paraId="1196C565">
            <w:pPr>
              <w:spacing w:line="260" w:lineRule="exact"/>
              <w:jc w:val="center"/>
              <w:rPr>
                <w:sz w:val="20"/>
                <w:szCs w:val="20"/>
              </w:rPr>
            </w:pPr>
            <w:r>
              <w:rPr>
                <w:rFonts w:hint="eastAsia"/>
                <w:sz w:val="20"/>
                <w:szCs w:val="20"/>
              </w:rPr>
              <w:t>规划区内呈小范围连片分布，主要分布在高山地区，主要为马尾松、栓皮栎、麻栎等</w:t>
            </w:r>
          </w:p>
        </w:tc>
        <w:tc>
          <w:tcPr>
            <w:tcW w:w="4111" w:type="dxa"/>
            <w:tcBorders>
              <w:top w:val="single" w:color="auto" w:sz="4" w:space="0"/>
              <w:left w:val="single" w:color="auto" w:sz="4" w:space="0"/>
              <w:bottom w:val="single" w:color="auto" w:sz="4" w:space="0"/>
              <w:right w:val="single" w:color="auto" w:sz="4" w:space="0"/>
            </w:tcBorders>
            <w:vAlign w:val="center"/>
          </w:tcPr>
          <w:p w14:paraId="3880A86E">
            <w:pPr>
              <w:spacing w:line="260" w:lineRule="exact"/>
              <w:rPr>
                <w:sz w:val="20"/>
                <w:szCs w:val="20"/>
              </w:rPr>
            </w:pPr>
            <w:r>
              <w:rPr>
                <w:rFonts w:hint="eastAsia"/>
                <w:sz w:val="20"/>
                <w:szCs w:val="20"/>
              </w:rPr>
              <w:t>主要分布于规划井田内高山地区，总面积2596.75hm</w:t>
            </w:r>
            <w:r>
              <w:rPr>
                <w:rFonts w:hint="eastAsia"/>
                <w:sz w:val="20"/>
                <w:szCs w:val="20"/>
                <w:vertAlign w:val="superscript"/>
              </w:rPr>
              <w:t>2</w:t>
            </w:r>
            <w:r>
              <w:rPr>
                <w:rFonts w:hint="eastAsia"/>
                <w:sz w:val="20"/>
                <w:szCs w:val="20"/>
              </w:rPr>
              <w:t>，详见表1.7.1-1</w:t>
            </w:r>
          </w:p>
        </w:tc>
        <w:tc>
          <w:tcPr>
            <w:tcW w:w="2398" w:type="dxa"/>
            <w:tcBorders>
              <w:top w:val="single" w:color="auto" w:sz="4" w:space="0"/>
              <w:left w:val="single" w:color="auto" w:sz="4" w:space="0"/>
              <w:bottom w:val="single" w:color="auto" w:sz="4" w:space="0"/>
              <w:right w:val="single" w:color="auto" w:sz="4" w:space="0"/>
            </w:tcBorders>
            <w:vAlign w:val="center"/>
          </w:tcPr>
          <w:p w14:paraId="137A4C87">
            <w:pPr>
              <w:spacing w:line="260" w:lineRule="exact"/>
              <w:rPr>
                <w:color w:val="000000"/>
                <w:sz w:val="20"/>
                <w:szCs w:val="20"/>
                <w:lang w:bidi="en-US"/>
              </w:rPr>
            </w:pPr>
            <w:r>
              <w:rPr>
                <w:rFonts w:hint="eastAsia"/>
                <w:color w:val="000000"/>
                <w:sz w:val="20"/>
                <w:szCs w:val="20"/>
                <w:lang w:bidi="en-US"/>
              </w:rPr>
              <w:t>落实天然林保护要求，功能不降低</w:t>
            </w:r>
          </w:p>
        </w:tc>
      </w:tr>
      <w:tr w14:paraId="593D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restart"/>
            <w:tcBorders>
              <w:left w:val="single" w:color="auto" w:sz="4" w:space="0"/>
              <w:right w:val="single" w:color="auto" w:sz="4" w:space="0"/>
            </w:tcBorders>
            <w:vAlign w:val="center"/>
          </w:tcPr>
          <w:p w14:paraId="1706F308">
            <w:pPr>
              <w:spacing w:line="260" w:lineRule="exact"/>
              <w:rPr>
                <w:color w:val="000000"/>
                <w:sz w:val="20"/>
                <w:szCs w:val="20"/>
              </w:rPr>
            </w:pPr>
            <w:r>
              <w:rPr>
                <w:color w:val="000000"/>
                <w:sz w:val="20"/>
                <w:szCs w:val="20"/>
              </w:rPr>
              <w:t>水环境</w:t>
            </w: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36024AB1">
            <w:pPr>
              <w:spacing w:line="260" w:lineRule="exact"/>
              <w:jc w:val="center"/>
              <w:rPr>
                <w:color w:val="000000"/>
                <w:sz w:val="20"/>
                <w:szCs w:val="20"/>
              </w:rPr>
            </w:pPr>
            <w:r>
              <w:rPr>
                <w:rFonts w:hint="eastAsia"/>
                <w:color w:val="000000"/>
                <w:sz w:val="20"/>
                <w:szCs w:val="20"/>
              </w:rPr>
              <w:t>集中饮用水源地及其保护区</w:t>
            </w:r>
          </w:p>
        </w:tc>
        <w:tc>
          <w:tcPr>
            <w:tcW w:w="4171" w:type="dxa"/>
            <w:tcBorders>
              <w:top w:val="single" w:color="auto" w:sz="4" w:space="0"/>
              <w:left w:val="single" w:color="auto" w:sz="4" w:space="0"/>
              <w:bottom w:val="single" w:color="auto" w:sz="4" w:space="0"/>
              <w:right w:val="single" w:color="auto" w:sz="4" w:space="0"/>
            </w:tcBorders>
            <w:vAlign w:val="center"/>
          </w:tcPr>
          <w:p w14:paraId="14BD4325">
            <w:pPr>
              <w:spacing w:line="260" w:lineRule="exact"/>
              <w:jc w:val="center"/>
              <w:rPr>
                <w:sz w:val="20"/>
                <w:szCs w:val="20"/>
              </w:rPr>
            </w:pPr>
            <w:r>
              <w:rPr>
                <w:rFonts w:hint="eastAsia"/>
                <w:sz w:val="20"/>
                <w:szCs w:val="20"/>
              </w:rPr>
              <w:t>习水县境内现有集中水源地共计36处，其中地下水型5处，地表水型5处，湖库型26处。各水源地均划定有各自的水源保护区</w:t>
            </w:r>
          </w:p>
        </w:tc>
        <w:tc>
          <w:tcPr>
            <w:tcW w:w="4111" w:type="dxa"/>
            <w:tcBorders>
              <w:top w:val="single" w:color="auto" w:sz="4" w:space="0"/>
              <w:left w:val="single" w:color="auto" w:sz="4" w:space="0"/>
              <w:bottom w:val="single" w:color="auto" w:sz="4" w:space="0"/>
              <w:right w:val="single" w:color="auto" w:sz="4" w:space="0"/>
            </w:tcBorders>
            <w:vAlign w:val="center"/>
          </w:tcPr>
          <w:p w14:paraId="08696EC9">
            <w:pPr>
              <w:spacing w:line="260" w:lineRule="exact"/>
              <w:jc w:val="center"/>
              <w:rPr>
                <w:sz w:val="20"/>
                <w:szCs w:val="20"/>
              </w:rPr>
            </w:pPr>
            <w:bookmarkStart w:id="11" w:name="_Hlk175582591"/>
            <w:r>
              <w:rPr>
                <w:rFonts w:hint="eastAsia"/>
                <w:sz w:val="20"/>
                <w:szCs w:val="20"/>
              </w:rPr>
              <w:t>修编矿区范围与各水源地及其保护区</w:t>
            </w:r>
            <w:r>
              <w:rPr>
                <w:rFonts w:hint="eastAsia"/>
                <w:b/>
                <w:bCs/>
                <w:sz w:val="20"/>
                <w:szCs w:val="20"/>
              </w:rPr>
              <w:t>均不重叠</w:t>
            </w:r>
            <w:r>
              <w:rPr>
                <w:rFonts w:hint="eastAsia"/>
                <w:sz w:val="20"/>
                <w:szCs w:val="20"/>
              </w:rPr>
              <w:t>。规划井田均位于表水型、湖库型水源地下游</w:t>
            </w:r>
            <w:bookmarkEnd w:id="11"/>
            <w:r>
              <w:rPr>
                <w:rFonts w:hint="eastAsia"/>
                <w:sz w:val="20"/>
                <w:szCs w:val="20"/>
              </w:rPr>
              <w:t>，矿区范围不在地表水型、湖库型水源地汇水区内。矿区所在水文地质单元内分布有5处地下水型水源地，规划井田均位于地下水型水源地下游或补给区侧方向直线距离1km以上，地下水力联系弱。</w:t>
            </w:r>
          </w:p>
        </w:tc>
        <w:tc>
          <w:tcPr>
            <w:tcW w:w="2398" w:type="dxa"/>
            <w:tcBorders>
              <w:top w:val="single" w:color="auto" w:sz="4" w:space="0"/>
              <w:left w:val="single" w:color="auto" w:sz="4" w:space="0"/>
              <w:bottom w:val="single" w:color="auto" w:sz="4" w:space="0"/>
              <w:right w:val="single" w:color="auto" w:sz="4" w:space="0"/>
            </w:tcBorders>
            <w:vAlign w:val="center"/>
          </w:tcPr>
          <w:p w14:paraId="14E90ED8">
            <w:pPr>
              <w:spacing w:line="260" w:lineRule="exact"/>
              <w:rPr>
                <w:color w:val="000000"/>
                <w:sz w:val="20"/>
                <w:szCs w:val="20"/>
                <w:lang w:bidi="en-US"/>
              </w:rPr>
            </w:pPr>
            <w:r>
              <w:rPr>
                <w:rFonts w:hint="eastAsia"/>
                <w:color w:val="000000"/>
                <w:sz w:val="20"/>
                <w:szCs w:val="20"/>
                <w:lang w:bidi="en-US"/>
              </w:rPr>
              <w:t>落实饮用水源保护条例要求，确保各水源地及其保护区不受采煤活动影响</w:t>
            </w:r>
          </w:p>
        </w:tc>
      </w:tr>
      <w:tr w14:paraId="7269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6D680466">
            <w:pPr>
              <w:spacing w:line="260" w:lineRule="exact"/>
              <w:rPr>
                <w:color w:val="000000"/>
                <w:sz w:val="20"/>
                <w:szCs w:val="20"/>
              </w:rPr>
            </w:pPr>
          </w:p>
        </w:tc>
        <w:tc>
          <w:tcPr>
            <w:tcW w:w="2628" w:type="dxa"/>
            <w:gridSpan w:val="3"/>
            <w:tcBorders>
              <w:top w:val="single" w:color="auto" w:sz="4" w:space="0"/>
              <w:left w:val="single" w:color="auto" w:sz="4" w:space="0"/>
              <w:bottom w:val="single" w:color="auto" w:sz="4" w:space="0"/>
              <w:right w:val="single" w:color="auto" w:sz="4" w:space="0"/>
            </w:tcBorders>
            <w:vAlign w:val="center"/>
          </w:tcPr>
          <w:p w14:paraId="3A81C937">
            <w:pPr>
              <w:spacing w:line="260" w:lineRule="exact"/>
              <w:jc w:val="center"/>
              <w:rPr>
                <w:color w:val="000000"/>
                <w:sz w:val="20"/>
                <w:szCs w:val="20"/>
              </w:rPr>
            </w:pPr>
            <w:r>
              <w:rPr>
                <w:rFonts w:hint="eastAsia"/>
                <w:color w:val="000000"/>
                <w:sz w:val="20"/>
                <w:szCs w:val="20"/>
              </w:rPr>
              <w:t>农村千人以下水源地</w:t>
            </w:r>
          </w:p>
        </w:tc>
        <w:tc>
          <w:tcPr>
            <w:tcW w:w="4171" w:type="dxa"/>
            <w:tcBorders>
              <w:top w:val="single" w:color="auto" w:sz="4" w:space="0"/>
              <w:left w:val="single" w:color="auto" w:sz="4" w:space="0"/>
              <w:bottom w:val="single" w:color="auto" w:sz="4" w:space="0"/>
              <w:right w:val="single" w:color="auto" w:sz="4" w:space="0"/>
            </w:tcBorders>
            <w:vAlign w:val="center"/>
          </w:tcPr>
          <w:p w14:paraId="4EBF18B2">
            <w:pPr>
              <w:spacing w:line="260" w:lineRule="exact"/>
              <w:jc w:val="center"/>
              <w:rPr>
                <w:color w:val="000000"/>
                <w:sz w:val="20"/>
                <w:szCs w:val="20"/>
              </w:rPr>
            </w:pPr>
            <w:r>
              <w:rPr>
                <w:rFonts w:hint="eastAsia"/>
                <w:color w:val="000000"/>
                <w:sz w:val="20"/>
                <w:szCs w:val="20"/>
              </w:rPr>
              <w:t>习水县</w:t>
            </w:r>
            <w:r>
              <w:rPr>
                <w:color w:val="000000"/>
                <w:sz w:val="20"/>
                <w:szCs w:val="20"/>
              </w:rPr>
              <w:t>实施</w:t>
            </w:r>
            <w:r>
              <w:rPr>
                <w:rFonts w:hint="eastAsia"/>
                <w:color w:val="000000"/>
                <w:sz w:val="20"/>
                <w:szCs w:val="20"/>
              </w:rPr>
              <w:t>了</w:t>
            </w:r>
            <w:r>
              <w:rPr>
                <w:color w:val="000000"/>
                <w:sz w:val="20"/>
                <w:szCs w:val="20"/>
              </w:rPr>
              <w:t>农村饮水安全巩固提升工程，</w:t>
            </w:r>
            <w:r>
              <w:rPr>
                <w:rFonts w:hint="eastAsia"/>
                <w:color w:val="000000"/>
                <w:sz w:val="20"/>
                <w:szCs w:val="20"/>
              </w:rPr>
              <w:t>全县</w:t>
            </w:r>
            <w:r>
              <w:rPr>
                <w:color w:val="000000"/>
                <w:sz w:val="20"/>
                <w:szCs w:val="20"/>
              </w:rPr>
              <w:t>已完成农村饮水安全巩固提升工程</w:t>
            </w:r>
            <w:r>
              <w:rPr>
                <w:rFonts w:hint="eastAsia"/>
                <w:color w:val="000000"/>
                <w:sz w:val="20"/>
                <w:szCs w:val="20"/>
              </w:rPr>
              <w:t>604</w:t>
            </w:r>
            <w:r>
              <w:rPr>
                <w:color w:val="000000"/>
                <w:sz w:val="20"/>
                <w:szCs w:val="20"/>
              </w:rPr>
              <w:t>处</w:t>
            </w:r>
            <w:r>
              <w:rPr>
                <w:rFonts w:hint="eastAsia"/>
                <w:color w:val="000000"/>
                <w:sz w:val="20"/>
                <w:szCs w:val="20"/>
              </w:rPr>
              <w:t>，水源地以地下水型为主，取水口周边30米－50米范围设置为水源保护范围</w:t>
            </w:r>
          </w:p>
        </w:tc>
        <w:tc>
          <w:tcPr>
            <w:tcW w:w="4111" w:type="dxa"/>
            <w:tcBorders>
              <w:top w:val="single" w:color="auto" w:sz="4" w:space="0"/>
              <w:left w:val="single" w:color="auto" w:sz="4" w:space="0"/>
              <w:bottom w:val="single" w:color="auto" w:sz="4" w:space="0"/>
              <w:right w:val="single" w:color="auto" w:sz="4" w:space="0"/>
            </w:tcBorders>
            <w:vAlign w:val="center"/>
          </w:tcPr>
          <w:p w14:paraId="716CD6EC">
            <w:pPr>
              <w:spacing w:line="260" w:lineRule="exact"/>
              <w:jc w:val="center"/>
              <w:rPr>
                <w:color w:val="000000"/>
                <w:sz w:val="20"/>
                <w:szCs w:val="20"/>
              </w:rPr>
            </w:pPr>
            <w:r>
              <w:rPr>
                <w:rFonts w:hint="eastAsia"/>
                <w:color w:val="000000"/>
                <w:sz w:val="20"/>
                <w:szCs w:val="20"/>
              </w:rPr>
              <w:t>规划矿区内分布有农村千人以下水源地32处，其中规划井田内24处，勘查区内7处，关闭煤矿退出区1处。</w:t>
            </w:r>
          </w:p>
        </w:tc>
        <w:tc>
          <w:tcPr>
            <w:tcW w:w="2398" w:type="dxa"/>
            <w:tcBorders>
              <w:top w:val="single" w:color="auto" w:sz="4" w:space="0"/>
              <w:left w:val="single" w:color="auto" w:sz="4" w:space="0"/>
              <w:bottom w:val="single" w:color="auto" w:sz="4" w:space="0"/>
              <w:right w:val="single" w:color="auto" w:sz="4" w:space="0"/>
            </w:tcBorders>
            <w:vAlign w:val="center"/>
          </w:tcPr>
          <w:p w14:paraId="0539F763">
            <w:pPr>
              <w:spacing w:line="260" w:lineRule="exact"/>
              <w:rPr>
                <w:color w:val="000000"/>
                <w:sz w:val="20"/>
                <w:szCs w:val="20"/>
                <w:lang w:bidi="en-US"/>
              </w:rPr>
            </w:pPr>
            <w:r>
              <w:rPr>
                <w:rFonts w:hint="eastAsia"/>
                <w:color w:val="000000"/>
                <w:sz w:val="20"/>
                <w:szCs w:val="20"/>
                <w:lang w:bidi="en-US"/>
              </w:rPr>
              <w:t>采取避让、留设煤柱、水源替代等措施，确保水源地供水安全</w:t>
            </w:r>
          </w:p>
        </w:tc>
      </w:tr>
      <w:tr w14:paraId="4B63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1F75835B">
            <w:pPr>
              <w:spacing w:line="260" w:lineRule="exact"/>
              <w:rPr>
                <w:color w:val="000000"/>
                <w:sz w:val="20"/>
                <w:szCs w:val="20"/>
              </w:rPr>
            </w:pPr>
          </w:p>
        </w:tc>
        <w:tc>
          <w:tcPr>
            <w:tcW w:w="909" w:type="dxa"/>
            <w:vMerge w:val="restart"/>
            <w:tcBorders>
              <w:top w:val="single" w:color="auto" w:sz="4" w:space="0"/>
              <w:left w:val="single" w:color="auto" w:sz="4" w:space="0"/>
              <w:right w:val="single" w:color="auto" w:sz="4" w:space="0"/>
            </w:tcBorders>
            <w:vAlign w:val="center"/>
          </w:tcPr>
          <w:p w14:paraId="62570D93">
            <w:pPr>
              <w:spacing w:line="260" w:lineRule="exact"/>
              <w:ind w:left="-82" w:leftChars="-39" w:right="-65" w:rightChars="-31"/>
              <w:jc w:val="center"/>
              <w:rPr>
                <w:color w:val="000000"/>
                <w:sz w:val="20"/>
                <w:szCs w:val="20"/>
              </w:rPr>
            </w:pPr>
            <w:r>
              <w:rPr>
                <w:color w:val="000000"/>
                <w:sz w:val="20"/>
                <w:szCs w:val="20"/>
              </w:rPr>
              <w:t>地表水</w:t>
            </w:r>
          </w:p>
        </w:tc>
        <w:tc>
          <w:tcPr>
            <w:tcW w:w="672" w:type="dxa"/>
            <w:vMerge w:val="restart"/>
            <w:tcBorders>
              <w:top w:val="single" w:color="auto" w:sz="4" w:space="0"/>
              <w:left w:val="single" w:color="auto" w:sz="4" w:space="0"/>
              <w:right w:val="single" w:color="auto" w:sz="4" w:space="0"/>
            </w:tcBorders>
            <w:vAlign w:val="center"/>
          </w:tcPr>
          <w:p w14:paraId="4FD688F6">
            <w:pPr>
              <w:spacing w:line="260" w:lineRule="exact"/>
              <w:jc w:val="center"/>
              <w:rPr>
                <w:sz w:val="20"/>
                <w:szCs w:val="20"/>
              </w:rPr>
            </w:pPr>
            <w:r>
              <w:rPr>
                <w:rFonts w:hint="eastAsia"/>
                <w:sz w:val="20"/>
                <w:szCs w:val="20"/>
              </w:rPr>
              <w:t>赤水河流域</w:t>
            </w:r>
          </w:p>
        </w:tc>
        <w:tc>
          <w:tcPr>
            <w:tcW w:w="1047" w:type="dxa"/>
            <w:tcBorders>
              <w:top w:val="single" w:color="auto" w:sz="4" w:space="0"/>
              <w:left w:val="single" w:color="auto" w:sz="4" w:space="0"/>
              <w:right w:val="single" w:color="auto" w:sz="4" w:space="0"/>
            </w:tcBorders>
            <w:vAlign w:val="center"/>
          </w:tcPr>
          <w:p w14:paraId="23DFFAB2">
            <w:pPr>
              <w:spacing w:line="260" w:lineRule="exact"/>
              <w:jc w:val="center"/>
              <w:rPr>
                <w:sz w:val="20"/>
                <w:szCs w:val="20"/>
              </w:rPr>
            </w:pPr>
            <w:r>
              <w:rPr>
                <w:rFonts w:hint="eastAsia"/>
                <w:sz w:val="20"/>
                <w:szCs w:val="20"/>
              </w:rPr>
              <w:t>赤水河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6EC52804">
            <w:pPr>
              <w:spacing w:line="260" w:lineRule="exact"/>
              <w:jc w:val="center"/>
              <w:rPr>
                <w:sz w:val="20"/>
                <w:szCs w:val="20"/>
              </w:rPr>
            </w:pPr>
            <w:r>
              <w:rPr>
                <w:rFonts w:hint="eastAsia"/>
                <w:sz w:val="20"/>
                <w:szCs w:val="20"/>
              </w:rPr>
              <w:t>主河道为II类地表水体，纳入</w:t>
            </w:r>
            <w:r>
              <w:rPr>
                <w:rFonts w:hint="eastAsia"/>
                <w:kern w:val="0"/>
                <w:sz w:val="20"/>
                <w:szCs w:val="20"/>
              </w:rPr>
              <w:t>长江上游珍稀 特有鱼类自然保护区管理。</w:t>
            </w:r>
            <w:r>
              <w:rPr>
                <w:rFonts w:hint="eastAsia"/>
                <w:sz w:val="20"/>
                <w:szCs w:val="20"/>
              </w:rPr>
              <w:t>规划矿区位于赤水河支流桐梓河上，距赤水河约5.8km（沿河道长）、直线距离3.6km</w:t>
            </w:r>
          </w:p>
        </w:tc>
        <w:tc>
          <w:tcPr>
            <w:tcW w:w="2398" w:type="dxa"/>
            <w:tcBorders>
              <w:top w:val="single" w:color="auto" w:sz="4" w:space="0"/>
              <w:left w:val="single" w:color="auto" w:sz="4" w:space="0"/>
              <w:bottom w:val="single" w:color="auto" w:sz="4" w:space="0"/>
              <w:right w:val="single" w:color="auto" w:sz="4" w:space="0"/>
            </w:tcBorders>
            <w:vAlign w:val="center"/>
          </w:tcPr>
          <w:p w14:paraId="6DAE0356">
            <w:pPr>
              <w:widowControl/>
              <w:spacing w:line="260" w:lineRule="exact"/>
              <w:jc w:val="left"/>
              <w:rPr>
                <w:sz w:val="20"/>
                <w:szCs w:val="20"/>
              </w:rPr>
            </w:pPr>
            <w:r>
              <w:rPr>
                <w:rFonts w:hint="eastAsia"/>
                <w:sz w:val="20"/>
                <w:szCs w:val="20"/>
              </w:rPr>
              <w:t>落实赤水河保护条例及相关要求</w:t>
            </w:r>
          </w:p>
        </w:tc>
      </w:tr>
      <w:tr w14:paraId="3C0E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14123567">
            <w:pPr>
              <w:spacing w:line="260" w:lineRule="exact"/>
              <w:rPr>
                <w:color w:val="000000"/>
                <w:sz w:val="20"/>
                <w:szCs w:val="20"/>
              </w:rPr>
            </w:pPr>
          </w:p>
        </w:tc>
        <w:tc>
          <w:tcPr>
            <w:tcW w:w="909" w:type="dxa"/>
            <w:vMerge w:val="continue"/>
            <w:tcBorders>
              <w:top w:val="single" w:color="auto" w:sz="4" w:space="0"/>
              <w:left w:val="single" w:color="auto" w:sz="4" w:space="0"/>
              <w:right w:val="single" w:color="auto" w:sz="4" w:space="0"/>
            </w:tcBorders>
            <w:vAlign w:val="center"/>
          </w:tcPr>
          <w:p w14:paraId="160BC937">
            <w:pPr>
              <w:spacing w:line="260" w:lineRule="exact"/>
              <w:ind w:left="-82" w:leftChars="-39" w:right="-65" w:rightChars="-31"/>
              <w:jc w:val="center"/>
              <w:rPr>
                <w:color w:val="000000"/>
                <w:sz w:val="20"/>
                <w:szCs w:val="20"/>
              </w:rPr>
            </w:pPr>
          </w:p>
        </w:tc>
        <w:tc>
          <w:tcPr>
            <w:tcW w:w="672" w:type="dxa"/>
            <w:vMerge w:val="continue"/>
            <w:tcBorders>
              <w:top w:val="single" w:color="auto" w:sz="4" w:space="0"/>
              <w:left w:val="single" w:color="auto" w:sz="4" w:space="0"/>
              <w:right w:val="single" w:color="auto" w:sz="4" w:space="0"/>
            </w:tcBorders>
            <w:vAlign w:val="center"/>
          </w:tcPr>
          <w:p w14:paraId="76A24FE6">
            <w:pPr>
              <w:spacing w:line="260" w:lineRule="exact"/>
              <w:jc w:val="center"/>
              <w:rPr>
                <w:sz w:val="20"/>
                <w:szCs w:val="20"/>
              </w:rPr>
            </w:pPr>
          </w:p>
        </w:tc>
        <w:tc>
          <w:tcPr>
            <w:tcW w:w="1047" w:type="dxa"/>
            <w:tcBorders>
              <w:top w:val="single" w:color="auto" w:sz="4" w:space="0"/>
              <w:left w:val="single" w:color="auto" w:sz="4" w:space="0"/>
              <w:right w:val="single" w:color="auto" w:sz="4" w:space="0"/>
            </w:tcBorders>
            <w:vAlign w:val="center"/>
          </w:tcPr>
          <w:p w14:paraId="199461E6">
            <w:pPr>
              <w:spacing w:line="260" w:lineRule="exact"/>
              <w:jc w:val="center"/>
              <w:rPr>
                <w:sz w:val="20"/>
                <w:szCs w:val="20"/>
              </w:rPr>
            </w:pPr>
            <w:r>
              <w:rPr>
                <w:rFonts w:hint="eastAsia"/>
                <w:sz w:val="20"/>
                <w:szCs w:val="20"/>
              </w:rPr>
              <w:t>桐梓河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40743091">
            <w:pPr>
              <w:spacing w:line="260" w:lineRule="exact"/>
              <w:jc w:val="center"/>
              <w:rPr>
                <w:sz w:val="20"/>
                <w:szCs w:val="20"/>
              </w:rPr>
            </w:pPr>
            <w:r>
              <w:rPr>
                <w:sz w:val="20"/>
                <w:szCs w:val="20"/>
              </w:rPr>
              <w:t>赤水河中段</w:t>
            </w:r>
            <w:r>
              <w:rPr>
                <w:rFonts w:hint="eastAsia"/>
                <w:sz w:val="20"/>
                <w:szCs w:val="20"/>
              </w:rPr>
              <w:t>最大</w:t>
            </w:r>
            <w:r>
              <w:rPr>
                <w:sz w:val="20"/>
                <w:szCs w:val="20"/>
              </w:rPr>
              <w:t>支流，</w:t>
            </w:r>
            <w:r>
              <w:rPr>
                <w:rFonts w:hint="eastAsia"/>
                <w:sz w:val="20"/>
                <w:szCs w:val="20"/>
              </w:rPr>
              <w:t>III类地表水体，</w:t>
            </w:r>
            <w:r>
              <w:rPr>
                <w:sz w:val="20"/>
                <w:szCs w:val="20"/>
              </w:rPr>
              <w:t>发源于桐梓，沿习、仁边界过二郎乡汇入赤水河。</w:t>
            </w:r>
            <w:r>
              <w:rPr>
                <w:rFonts w:hint="eastAsia"/>
                <w:sz w:val="20"/>
                <w:szCs w:val="20"/>
              </w:rPr>
              <w:t>习水</w:t>
            </w:r>
            <w:r>
              <w:rPr>
                <w:sz w:val="20"/>
                <w:szCs w:val="20"/>
              </w:rPr>
              <w:t>县内河长31.5</w:t>
            </w:r>
            <w:r>
              <w:rPr>
                <w:rFonts w:hint="eastAsia"/>
                <w:sz w:val="20"/>
                <w:szCs w:val="20"/>
              </w:rPr>
              <w:t>km</w:t>
            </w:r>
            <w:r>
              <w:rPr>
                <w:sz w:val="20"/>
                <w:szCs w:val="20"/>
              </w:rPr>
              <w:t>，落差92</w:t>
            </w:r>
            <w:r>
              <w:rPr>
                <w:rFonts w:hint="eastAsia"/>
                <w:sz w:val="20"/>
                <w:szCs w:val="20"/>
              </w:rPr>
              <w:t>m</w:t>
            </w:r>
            <w:r>
              <w:rPr>
                <w:sz w:val="20"/>
                <w:szCs w:val="20"/>
              </w:rPr>
              <w:t>，平均比降2.9‰，二郎坝水文站资料</w:t>
            </w:r>
            <w:r>
              <w:rPr>
                <w:rFonts w:hint="eastAsia"/>
                <w:sz w:val="20"/>
                <w:szCs w:val="20"/>
              </w:rPr>
              <w:t>显示</w:t>
            </w:r>
            <w:r>
              <w:rPr>
                <w:sz w:val="20"/>
                <w:szCs w:val="20"/>
              </w:rPr>
              <w:t>多年平均流量</w:t>
            </w:r>
            <w:r>
              <w:rPr>
                <w:rFonts w:hint="eastAsia"/>
                <w:sz w:val="20"/>
                <w:szCs w:val="20"/>
              </w:rPr>
              <w:t>24.69</w:t>
            </w:r>
            <w:r>
              <w:rPr>
                <w:sz w:val="20"/>
                <w:szCs w:val="20"/>
              </w:rPr>
              <w:t>立方米/秒</w:t>
            </w:r>
            <w:r>
              <w:rPr>
                <w:rFonts w:hint="eastAsia"/>
                <w:sz w:val="20"/>
                <w:szCs w:val="20"/>
              </w:rPr>
              <w:t>。规划改扩建的新兴宏能煤矿受纳水体，新兴宏能煤矿已依法依规设置了入河排污口</w:t>
            </w:r>
          </w:p>
        </w:tc>
        <w:tc>
          <w:tcPr>
            <w:tcW w:w="2398" w:type="dxa"/>
            <w:tcBorders>
              <w:top w:val="single" w:color="auto" w:sz="4" w:space="0"/>
              <w:left w:val="single" w:color="auto" w:sz="4" w:space="0"/>
              <w:bottom w:val="single" w:color="auto" w:sz="4" w:space="0"/>
              <w:right w:val="single" w:color="auto" w:sz="4" w:space="0"/>
            </w:tcBorders>
            <w:vAlign w:val="center"/>
          </w:tcPr>
          <w:p w14:paraId="38CCFF10">
            <w:pPr>
              <w:widowControl/>
              <w:spacing w:line="260" w:lineRule="exact"/>
              <w:jc w:val="left"/>
              <w:rPr>
                <w:sz w:val="20"/>
                <w:szCs w:val="20"/>
              </w:rPr>
            </w:pPr>
            <w:r>
              <w:rPr>
                <w:sz w:val="20"/>
                <w:szCs w:val="20"/>
              </w:rPr>
              <w:t>水环境质量不降低</w:t>
            </w:r>
          </w:p>
        </w:tc>
      </w:tr>
      <w:tr w14:paraId="2080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33E892D9">
            <w:pPr>
              <w:widowControl/>
              <w:spacing w:line="260" w:lineRule="exact"/>
              <w:jc w:val="left"/>
              <w:rPr>
                <w:color w:val="000000"/>
                <w:sz w:val="20"/>
                <w:szCs w:val="20"/>
              </w:rPr>
            </w:pPr>
          </w:p>
        </w:tc>
        <w:tc>
          <w:tcPr>
            <w:tcW w:w="909" w:type="dxa"/>
            <w:vMerge w:val="continue"/>
            <w:tcBorders>
              <w:left w:val="single" w:color="auto" w:sz="4" w:space="0"/>
              <w:right w:val="single" w:color="auto" w:sz="4" w:space="0"/>
            </w:tcBorders>
            <w:vAlign w:val="center"/>
          </w:tcPr>
          <w:p w14:paraId="4E98292B">
            <w:pPr>
              <w:spacing w:line="260" w:lineRule="exact"/>
              <w:rPr>
                <w:color w:val="000000"/>
                <w:sz w:val="20"/>
                <w:szCs w:val="20"/>
              </w:rPr>
            </w:pPr>
          </w:p>
        </w:tc>
        <w:tc>
          <w:tcPr>
            <w:tcW w:w="672" w:type="dxa"/>
            <w:vMerge w:val="continue"/>
            <w:tcBorders>
              <w:left w:val="single" w:color="auto" w:sz="4" w:space="0"/>
              <w:right w:val="single" w:color="auto" w:sz="4" w:space="0"/>
            </w:tcBorders>
            <w:vAlign w:val="center"/>
          </w:tcPr>
          <w:p w14:paraId="534100E3">
            <w:pPr>
              <w:spacing w:line="260" w:lineRule="exact"/>
              <w:jc w:val="center"/>
              <w:rPr>
                <w:sz w:val="20"/>
                <w:szCs w:val="20"/>
              </w:rPr>
            </w:pPr>
          </w:p>
        </w:tc>
        <w:tc>
          <w:tcPr>
            <w:tcW w:w="1047" w:type="dxa"/>
            <w:tcBorders>
              <w:left w:val="single" w:color="auto" w:sz="4" w:space="0"/>
              <w:right w:val="single" w:color="auto" w:sz="4" w:space="0"/>
            </w:tcBorders>
            <w:vAlign w:val="center"/>
          </w:tcPr>
          <w:p w14:paraId="15E27C2C">
            <w:pPr>
              <w:spacing w:line="260" w:lineRule="exact"/>
              <w:jc w:val="center"/>
              <w:rPr>
                <w:sz w:val="20"/>
                <w:szCs w:val="20"/>
              </w:rPr>
            </w:pPr>
            <w:r>
              <w:rPr>
                <w:rFonts w:hint="eastAsia"/>
                <w:sz w:val="20"/>
                <w:szCs w:val="20"/>
              </w:rPr>
              <w:t>其他河流</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325E66E0">
            <w:pPr>
              <w:spacing w:line="260" w:lineRule="exact"/>
              <w:jc w:val="center"/>
              <w:rPr>
                <w:sz w:val="20"/>
                <w:szCs w:val="20"/>
              </w:rPr>
            </w:pPr>
            <w:r>
              <w:rPr>
                <w:rFonts w:hint="eastAsia"/>
                <w:sz w:val="20"/>
                <w:szCs w:val="20"/>
              </w:rPr>
              <w:t>桐梓河支流，均为III类地表水体，含沙溪场河（桃林煤矿受纳水体）、官店河、马鹿河（兴隆和永安煤矿受纳水体）、二郎河、邓家沟、向阳河等</w:t>
            </w:r>
          </w:p>
        </w:tc>
        <w:tc>
          <w:tcPr>
            <w:tcW w:w="2398" w:type="dxa"/>
            <w:tcBorders>
              <w:top w:val="single" w:color="auto" w:sz="4" w:space="0"/>
              <w:left w:val="single" w:color="auto" w:sz="4" w:space="0"/>
              <w:bottom w:val="single" w:color="auto" w:sz="4" w:space="0"/>
              <w:right w:val="single" w:color="auto" w:sz="4" w:space="0"/>
            </w:tcBorders>
            <w:vAlign w:val="center"/>
          </w:tcPr>
          <w:p w14:paraId="2024E047">
            <w:pPr>
              <w:spacing w:line="260" w:lineRule="exact"/>
              <w:rPr>
                <w:sz w:val="20"/>
                <w:szCs w:val="20"/>
              </w:rPr>
            </w:pPr>
            <w:r>
              <w:rPr>
                <w:sz w:val="20"/>
                <w:szCs w:val="20"/>
              </w:rPr>
              <w:t>水环境质量不降低</w:t>
            </w:r>
          </w:p>
        </w:tc>
      </w:tr>
      <w:tr w14:paraId="49F8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vMerge w:val="continue"/>
            <w:tcBorders>
              <w:left w:val="single" w:color="auto" w:sz="4" w:space="0"/>
              <w:right w:val="single" w:color="auto" w:sz="4" w:space="0"/>
            </w:tcBorders>
            <w:vAlign w:val="center"/>
          </w:tcPr>
          <w:p w14:paraId="72735CE1">
            <w:pPr>
              <w:widowControl/>
              <w:spacing w:line="260" w:lineRule="exact"/>
              <w:jc w:val="left"/>
              <w:rPr>
                <w:color w:val="000000"/>
                <w:sz w:val="20"/>
                <w:szCs w:val="20"/>
              </w:rPr>
            </w:pPr>
          </w:p>
        </w:tc>
        <w:tc>
          <w:tcPr>
            <w:tcW w:w="909" w:type="dxa"/>
            <w:vMerge w:val="continue"/>
            <w:tcBorders>
              <w:left w:val="single" w:color="auto" w:sz="4" w:space="0"/>
              <w:right w:val="single" w:color="auto" w:sz="4" w:space="0"/>
            </w:tcBorders>
            <w:vAlign w:val="center"/>
          </w:tcPr>
          <w:p w14:paraId="21AEE795">
            <w:pPr>
              <w:spacing w:line="260" w:lineRule="exact"/>
              <w:rPr>
                <w:color w:val="000000"/>
                <w:sz w:val="20"/>
                <w:szCs w:val="20"/>
              </w:rPr>
            </w:pPr>
          </w:p>
        </w:tc>
        <w:tc>
          <w:tcPr>
            <w:tcW w:w="672" w:type="dxa"/>
            <w:tcBorders>
              <w:left w:val="single" w:color="auto" w:sz="4" w:space="0"/>
              <w:bottom w:val="single" w:color="auto" w:sz="4" w:space="0"/>
              <w:right w:val="single" w:color="auto" w:sz="4" w:space="0"/>
            </w:tcBorders>
            <w:vAlign w:val="center"/>
          </w:tcPr>
          <w:p w14:paraId="0F396435">
            <w:pPr>
              <w:spacing w:line="260" w:lineRule="exact"/>
              <w:jc w:val="center"/>
              <w:rPr>
                <w:sz w:val="20"/>
                <w:szCs w:val="20"/>
              </w:rPr>
            </w:pPr>
            <w:r>
              <w:rPr>
                <w:rFonts w:hint="eastAsia"/>
                <w:sz w:val="20"/>
                <w:szCs w:val="20"/>
              </w:rPr>
              <w:t>綦江流域</w:t>
            </w:r>
          </w:p>
        </w:tc>
        <w:tc>
          <w:tcPr>
            <w:tcW w:w="1047" w:type="dxa"/>
            <w:tcBorders>
              <w:left w:val="single" w:color="auto" w:sz="4" w:space="0"/>
              <w:bottom w:val="single" w:color="auto" w:sz="4" w:space="0"/>
              <w:right w:val="single" w:color="auto" w:sz="4" w:space="0"/>
            </w:tcBorders>
            <w:vAlign w:val="center"/>
          </w:tcPr>
          <w:p w14:paraId="06B332B5">
            <w:pPr>
              <w:spacing w:line="260" w:lineRule="exact"/>
              <w:jc w:val="center"/>
              <w:rPr>
                <w:sz w:val="20"/>
                <w:szCs w:val="20"/>
              </w:rPr>
            </w:pPr>
            <w:r>
              <w:rPr>
                <w:rFonts w:hint="eastAsia"/>
                <w:sz w:val="20"/>
                <w:szCs w:val="20"/>
              </w:rPr>
              <w:t>綦江河</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292B81E2">
            <w:pPr>
              <w:spacing w:line="260" w:lineRule="exact"/>
              <w:jc w:val="center"/>
              <w:rPr>
                <w:sz w:val="20"/>
                <w:szCs w:val="20"/>
              </w:rPr>
            </w:pPr>
            <w:r>
              <w:rPr>
                <w:rFonts w:hint="eastAsia"/>
                <w:sz w:val="20"/>
                <w:szCs w:val="20"/>
              </w:rPr>
              <w:t>又名松坎河，III类地表水体，自西北向东南径流，约9km后进入重庆綦江区境内，汇入綦江。天成和利达煤矿的受纳水体，利达煤矿已依法依规设置了入河排污口</w:t>
            </w:r>
          </w:p>
        </w:tc>
        <w:tc>
          <w:tcPr>
            <w:tcW w:w="2398" w:type="dxa"/>
            <w:tcBorders>
              <w:top w:val="single" w:color="auto" w:sz="4" w:space="0"/>
              <w:left w:val="single" w:color="auto" w:sz="4" w:space="0"/>
              <w:bottom w:val="single" w:color="auto" w:sz="4" w:space="0"/>
              <w:right w:val="single" w:color="auto" w:sz="4" w:space="0"/>
            </w:tcBorders>
            <w:vAlign w:val="center"/>
          </w:tcPr>
          <w:p w14:paraId="50FF299C">
            <w:pPr>
              <w:spacing w:line="260" w:lineRule="exact"/>
              <w:rPr>
                <w:sz w:val="20"/>
                <w:szCs w:val="20"/>
              </w:rPr>
            </w:pPr>
            <w:r>
              <w:rPr>
                <w:sz w:val="20"/>
                <w:szCs w:val="20"/>
              </w:rPr>
              <w:t>水环境质量不降低</w:t>
            </w:r>
          </w:p>
        </w:tc>
      </w:tr>
      <w:tr w14:paraId="7F92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67" w:type="dxa"/>
            <w:vMerge w:val="continue"/>
            <w:tcBorders>
              <w:left w:val="single" w:color="auto" w:sz="4" w:space="0"/>
              <w:right w:val="single" w:color="auto" w:sz="4" w:space="0"/>
            </w:tcBorders>
            <w:vAlign w:val="center"/>
          </w:tcPr>
          <w:p w14:paraId="7ACA59BD">
            <w:pPr>
              <w:widowControl/>
              <w:spacing w:line="260" w:lineRule="exact"/>
              <w:jc w:val="left"/>
              <w:rPr>
                <w:color w:val="000000"/>
                <w:sz w:val="20"/>
                <w:szCs w:val="20"/>
              </w:rPr>
            </w:pPr>
          </w:p>
        </w:tc>
        <w:tc>
          <w:tcPr>
            <w:tcW w:w="909" w:type="dxa"/>
            <w:vMerge w:val="restart"/>
            <w:tcBorders>
              <w:left w:val="single" w:color="auto" w:sz="4" w:space="0"/>
              <w:right w:val="single" w:color="auto" w:sz="4" w:space="0"/>
            </w:tcBorders>
            <w:vAlign w:val="center"/>
          </w:tcPr>
          <w:p w14:paraId="100ACD1F">
            <w:pPr>
              <w:spacing w:line="260" w:lineRule="exact"/>
              <w:rPr>
                <w:color w:val="000000"/>
                <w:sz w:val="20"/>
                <w:szCs w:val="20"/>
              </w:rPr>
            </w:pPr>
            <w:r>
              <w:rPr>
                <w:color w:val="000000"/>
                <w:sz w:val="20"/>
                <w:szCs w:val="20"/>
              </w:rPr>
              <w:t>地下水</w:t>
            </w:r>
          </w:p>
        </w:tc>
        <w:tc>
          <w:tcPr>
            <w:tcW w:w="1719" w:type="dxa"/>
            <w:gridSpan w:val="2"/>
            <w:tcBorders>
              <w:top w:val="single" w:color="auto" w:sz="4" w:space="0"/>
              <w:left w:val="single" w:color="auto" w:sz="4" w:space="0"/>
              <w:right w:val="single" w:color="auto" w:sz="4" w:space="0"/>
            </w:tcBorders>
            <w:vAlign w:val="center"/>
          </w:tcPr>
          <w:p w14:paraId="0C7AADC3">
            <w:pPr>
              <w:spacing w:line="260" w:lineRule="exact"/>
              <w:jc w:val="center"/>
              <w:rPr>
                <w:color w:val="000000"/>
                <w:sz w:val="20"/>
                <w:szCs w:val="20"/>
              </w:rPr>
            </w:pPr>
            <w:r>
              <w:rPr>
                <w:rFonts w:hint="eastAsia"/>
                <w:color w:val="000000"/>
                <w:sz w:val="20"/>
                <w:szCs w:val="20"/>
              </w:rPr>
              <w:t>供水意义含水层</w:t>
            </w:r>
          </w:p>
        </w:tc>
        <w:tc>
          <w:tcPr>
            <w:tcW w:w="4171" w:type="dxa"/>
            <w:tcBorders>
              <w:top w:val="single" w:color="auto" w:sz="4" w:space="0"/>
              <w:left w:val="single" w:color="auto" w:sz="4" w:space="0"/>
              <w:right w:val="single" w:color="auto" w:sz="4" w:space="0"/>
            </w:tcBorders>
            <w:vAlign w:val="center"/>
          </w:tcPr>
          <w:p w14:paraId="54F102FC">
            <w:pPr>
              <w:spacing w:line="260" w:lineRule="exact"/>
              <w:rPr>
                <w:color w:val="000000"/>
                <w:sz w:val="20"/>
                <w:szCs w:val="20"/>
              </w:rPr>
            </w:pPr>
            <w:r>
              <w:rPr>
                <w:rFonts w:hint="eastAsia"/>
                <w:color w:val="000000"/>
                <w:sz w:val="20"/>
                <w:szCs w:val="20"/>
              </w:rPr>
              <w:t>含岩溶水、基岩裂隙水和松散岩类孔隙水三类。岩溶水主要赋存在茅草铺组、夜郎组玉龙山段、长兴组、茅口组等灰岩中，岩溶管道发育；基岩裂隙水主要赋存与龙潭组、夜郎组九级滩段等地层浅部碎屑岩裂隙水含水层中；松散岩类孔隙裂隙水赋存于第四系残坡积、冲洪积层孔隙中</w:t>
            </w:r>
          </w:p>
        </w:tc>
        <w:tc>
          <w:tcPr>
            <w:tcW w:w="4111" w:type="dxa"/>
            <w:tcBorders>
              <w:top w:val="single" w:color="auto" w:sz="4" w:space="0"/>
              <w:left w:val="single" w:color="auto" w:sz="4" w:space="0"/>
              <w:right w:val="single" w:color="auto" w:sz="4" w:space="0"/>
            </w:tcBorders>
            <w:vAlign w:val="center"/>
          </w:tcPr>
          <w:p w14:paraId="7BA31A03">
            <w:pPr>
              <w:spacing w:line="260" w:lineRule="exact"/>
              <w:rPr>
                <w:color w:val="000000"/>
                <w:sz w:val="20"/>
                <w:szCs w:val="20"/>
              </w:rPr>
            </w:pPr>
            <w:r>
              <w:rPr>
                <w:rFonts w:hint="eastAsia"/>
                <w:color w:val="000000"/>
                <w:sz w:val="20"/>
                <w:szCs w:val="20"/>
              </w:rPr>
              <w:t>受地质构造和地层露头空间分布影响，岩溶水、基岩裂隙水含水层与规划井田范围呈东北-西南条带状分布，第四系松散岩类孔隙含水层主要分布于河道两侧沿线，呈零星不连续分布</w:t>
            </w:r>
          </w:p>
        </w:tc>
        <w:tc>
          <w:tcPr>
            <w:tcW w:w="2398" w:type="dxa"/>
            <w:tcBorders>
              <w:top w:val="single" w:color="auto" w:sz="4" w:space="0"/>
              <w:left w:val="single" w:color="auto" w:sz="4" w:space="0"/>
              <w:right w:val="single" w:color="auto" w:sz="4" w:space="0"/>
            </w:tcBorders>
            <w:vAlign w:val="center"/>
          </w:tcPr>
          <w:p w14:paraId="5527459C">
            <w:pPr>
              <w:spacing w:line="260" w:lineRule="exact"/>
              <w:jc w:val="center"/>
              <w:rPr>
                <w:color w:val="000000"/>
                <w:sz w:val="20"/>
                <w:szCs w:val="20"/>
              </w:rPr>
            </w:pPr>
            <w:r>
              <w:rPr>
                <w:rFonts w:hint="eastAsia"/>
                <w:color w:val="000000"/>
                <w:sz w:val="20"/>
                <w:szCs w:val="20"/>
              </w:rPr>
              <w:t>地下水</w:t>
            </w:r>
            <w:r>
              <w:rPr>
                <w:color w:val="000000"/>
                <w:sz w:val="20"/>
                <w:szCs w:val="20"/>
              </w:rPr>
              <w:t>水环境质量不降低，水位</w:t>
            </w:r>
            <w:r>
              <w:rPr>
                <w:rFonts w:hint="eastAsia"/>
                <w:color w:val="000000"/>
                <w:sz w:val="20"/>
                <w:szCs w:val="20"/>
              </w:rPr>
              <w:t>变化整体可控</w:t>
            </w:r>
          </w:p>
        </w:tc>
      </w:tr>
      <w:tr w14:paraId="6857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67" w:type="dxa"/>
            <w:vMerge w:val="continue"/>
            <w:tcBorders>
              <w:left w:val="single" w:color="auto" w:sz="4" w:space="0"/>
              <w:right w:val="single" w:color="auto" w:sz="4" w:space="0"/>
            </w:tcBorders>
            <w:vAlign w:val="center"/>
          </w:tcPr>
          <w:p w14:paraId="0A6230A7">
            <w:pPr>
              <w:widowControl/>
              <w:spacing w:line="260" w:lineRule="exact"/>
              <w:jc w:val="left"/>
              <w:rPr>
                <w:color w:val="000000"/>
                <w:sz w:val="20"/>
                <w:szCs w:val="20"/>
              </w:rPr>
            </w:pPr>
          </w:p>
        </w:tc>
        <w:tc>
          <w:tcPr>
            <w:tcW w:w="909" w:type="dxa"/>
            <w:vMerge w:val="continue"/>
            <w:tcBorders>
              <w:left w:val="single" w:color="auto" w:sz="4" w:space="0"/>
              <w:bottom w:val="single" w:color="auto" w:sz="4" w:space="0"/>
              <w:right w:val="single" w:color="auto" w:sz="4" w:space="0"/>
            </w:tcBorders>
            <w:vAlign w:val="center"/>
          </w:tcPr>
          <w:p w14:paraId="1C754416">
            <w:pPr>
              <w:spacing w:line="260" w:lineRule="exact"/>
              <w:rPr>
                <w:color w:val="000000"/>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11B0F420">
            <w:pPr>
              <w:spacing w:line="260" w:lineRule="exact"/>
              <w:jc w:val="center"/>
              <w:rPr>
                <w:color w:val="000000"/>
                <w:sz w:val="20"/>
                <w:szCs w:val="20"/>
              </w:rPr>
            </w:pPr>
            <w:r>
              <w:rPr>
                <w:color w:val="000000"/>
                <w:sz w:val="20"/>
                <w:szCs w:val="20"/>
              </w:rPr>
              <w:t>居民分散水井</w:t>
            </w:r>
            <w:r>
              <w:rPr>
                <w:rFonts w:hint="eastAsia"/>
                <w:color w:val="000000"/>
                <w:sz w:val="20"/>
                <w:szCs w:val="20"/>
              </w:rPr>
              <w:t>、泉</w:t>
            </w:r>
          </w:p>
        </w:tc>
        <w:tc>
          <w:tcPr>
            <w:tcW w:w="4171" w:type="dxa"/>
            <w:tcBorders>
              <w:top w:val="single" w:color="auto" w:sz="4" w:space="0"/>
              <w:left w:val="single" w:color="auto" w:sz="4" w:space="0"/>
              <w:bottom w:val="single" w:color="auto" w:sz="4" w:space="0"/>
              <w:right w:val="single" w:color="auto" w:sz="4" w:space="0"/>
            </w:tcBorders>
            <w:vAlign w:val="center"/>
          </w:tcPr>
          <w:p w14:paraId="1B3A46BA">
            <w:pPr>
              <w:spacing w:line="260" w:lineRule="exact"/>
              <w:rPr>
                <w:color w:val="000000"/>
                <w:sz w:val="20"/>
                <w:szCs w:val="20"/>
              </w:rPr>
            </w:pPr>
            <w:r>
              <w:rPr>
                <w:rFonts w:hint="eastAsia"/>
                <w:color w:val="000000"/>
                <w:sz w:val="20"/>
                <w:szCs w:val="20"/>
              </w:rPr>
              <w:t>茅</w:t>
            </w:r>
            <w:r>
              <w:rPr>
                <w:rFonts w:hint="eastAsia"/>
                <w:sz w:val="20"/>
                <w:szCs w:val="20"/>
              </w:rPr>
              <w:t>草铺组、夜郎组玉龙山段、长兴组、茅口组等灰岩中共发育暗河14条，总长26.22km，详见表1.7.1-4；规划矿区内代表性井泉总计约205处，出露地层主要为夜郎组九级滩段、夜郎组玉龙山段等碎屑岩类裂隙水和茅口组等岩溶地层中。</w:t>
            </w:r>
          </w:p>
        </w:tc>
        <w:tc>
          <w:tcPr>
            <w:tcW w:w="4111" w:type="dxa"/>
            <w:tcBorders>
              <w:top w:val="single" w:color="auto" w:sz="4" w:space="0"/>
              <w:left w:val="single" w:color="auto" w:sz="4" w:space="0"/>
              <w:bottom w:val="single" w:color="auto" w:sz="4" w:space="0"/>
              <w:right w:val="single" w:color="auto" w:sz="4" w:space="0"/>
            </w:tcBorders>
            <w:vAlign w:val="center"/>
          </w:tcPr>
          <w:p w14:paraId="3B0A161A">
            <w:pPr>
              <w:spacing w:line="260" w:lineRule="exact"/>
              <w:rPr>
                <w:color w:val="000000"/>
                <w:sz w:val="20"/>
                <w:szCs w:val="20"/>
              </w:rPr>
            </w:pPr>
            <w:r>
              <w:rPr>
                <w:rFonts w:hint="eastAsia"/>
                <w:color w:val="000000"/>
                <w:sz w:val="20"/>
                <w:szCs w:val="20"/>
              </w:rPr>
              <w:t>已知暗河（1:5万水文调查）主要分布在规划井田边界处，代表性井泉根据水文地质条件，岩溶泉基本岩暗河沿线分布，</w:t>
            </w:r>
            <w:r>
              <w:rPr>
                <w:rFonts w:hint="eastAsia"/>
                <w:sz w:val="20"/>
                <w:szCs w:val="20"/>
              </w:rPr>
              <w:t>碎屑岩类裂隙泉因接受大气降雨补给，呈就近补给就近排泄特征，不均匀分布于各规划井田范围内急周边</w:t>
            </w:r>
            <w:r>
              <w:rPr>
                <w:rFonts w:hint="eastAsia"/>
                <w:color w:val="000000"/>
                <w:sz w:val="20"/>
                <w:szCs w:val="20"/>
              </w:rPr>
              <w:t xml:space="preserve"> </w:t>
            </w:r>
          </w:p>
        </w:tc>
        <w:tc>
          <w:tcPr>
            <w:tcW w:w="2398" w:type="dxa"/>
            <w:tcBorders>
              <w:left w:val="single" w:color="auto" w:sz="4" w:space="0"/>
              <w:bottom w:val="single" w:color="auto" w:sz="4" w:space="0"/>
              <w:right w:val="single" w:color="auto" w:sz="4" w:space="0"/>
            </w:tcBorders>
            <w:vAlign w:val="center"/>
          </w:tcPr>
          <w:p w14:paraId="2C808B82">
            <w:pPr>
              <w:spacing w:line="260" w:lineRule="exact"/>
              <w:jc w:val="center"/>
              <w:rPr>
                <w:color w:val="000000"/>
                <w:sz w:val="20"/>
                <w:szCs w:val="20"/>
              </w:rPr>
            </w:pPr>
            <w:r>
              <w:rPr>
                <w:rFonts w:hint="eastAsia"/>
                <w:color w:val="000000"/>
                <w:sz w:val="20"/>
                <w:szCs w:val="20"/>
              </w:rPr>
              <w:t>避免和减轻水患和地下水影响，采取措施保障泉点现有供水功能不降低</w:t>
            </w:r>
          </w:p>
        </w:tc>
      </w:tr>
      <w:tr w14:paraId="1707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7" w:type="dxa"/>
            <w:tcBorders>
              <w:top w:val="single" w:color="auto" w:sz="4" w:space="0"/>
              <w:left w:val="single" w:color="auto" w:sz="4" w:space="0"/>
              <w:right w:val="single" w:color="auto" w:sz="4" w:space="0"/>
            </w:tcBorders>
            <w:vAlign w:val="center"/>
          </w:tcPr>
          <w:p w14:paraId="16D2A707">
            <w:pPr>
              <w:spacing w:line="260" w:lineRule="exact"/>
              <w:rPr>
                <w:color w:val="000000"/>
                <w:sz w:val="20"/>
                <w:szCs w:val="20"/>
              </w:rPr>
            </w:pPr>
            <w:r>
              <w:rPr>
                <w:color w:val="000000"/>
                <w:sz w:val="20"/>
                <w:szCs w:val="20"/>
              </w:rPr>
              <w:t>大气环境</w:t>
            </w:r>
          </w:p>
        </w:tc>
        <w:tc>
          <w:tcPr>
            <w:tcW w:w="2628" w:type="dxa"/>
            <w:gridSpan w:val="3"/>
            <w:tcBorders>
              <w:top w:val="single" w:color="auto" w:sz="4" w:space="0"/>
              <w:left w:val="single" w:color="auto" w:sz="4" w:space="0"/>
              <w:right w:val="single" w:color="auto" w:sz="4" w:space="0"/>
            </w:tcBorders>
            <w:vAlign w:val="center"/>
          </w:tcPr>
          <w:p w14:paraId="2B5EB77B">
            <w:pPr>
              <w:spacing w:line="260" w:lineRule="exact"/>
              <w:jc w:val="center"/>
              <w:textAlignment w:val="center"/>
              <w:rPr>
                <w:sz w:val="20"/>
                <w:szCs w:val="20"/>
              </w:rPr>
            </w:pPr>
            <w:r>
              <w:rPr>
                <w:rFonts w:hint="eastAsia"/>
                <w:sz w:val="20"/>
                <w:szCs w:val="20"/>
              </w:rPr>
              <w:t>居民区</w:t>
            </w:r>
          </w:p>
        </w:tc>
        <w:tc>
          <w:tcPr>
            <w:tcW w:w="8282" w:type="dxa"/>
            <w:gridSpan w:val="2"/>
            <w:tcBorders>
              <w:top w:val="single" w:color="auto" w:sz="4" w:space="0"/>
              <w:left w:val="single" w:color="auto" w:sz="4" w:space="0"/>
              <w:right w:val="single" w:color="auto" w:sz="4" w:space="0"/>
            </w:tcBorders>
            <w:vAlign w:val="center"/>
          </w:tcPr>
          <w:p w14:paraId="3156220F">
            <w:pPr>
              <w:snapToGrid w:val="0"/>
              <w:spacing w:line="260" w:lineRule="exact"/>
              <w:jc w:val="center"/>
              <w:rPr>
                <w:sz w:val="20"/>
                <w:szCs w:val="20"/>
              </w:rPr>
            </w:pPr>
            <w:r>
              <w:rPr>
                <w:rFonts w:hint="eastAsia"/>
                <w:sz w:val="20"/>
                <w:szCs w:val="20"/>
              </w:rPr>
              <w:t>规划区大气评价范围内有居民约300处，人口密度为280人/平方公里，分布较为分散</w:t>
            </w:r>
          </w:p>
        </w:tc>
        <w:tc>
          <w:tcPr>
            <w:tcW w:w="2398" w:type="dxa"/>
            <w:tcBorders>
              <w:top w:val="single" w:color="auto" w:sz="4" w:space="0"/>
              <w:left w:val="single" w:color="auto" w:sz="4" w:space="0"/>
              <w:right w:val="single" w:color="auto" w:sz="4" w:space="0"/>
            </w:tcBorders>
            <w:vAlign w:val="center"/>
          </w:tcPr>
          <w:p w14:paraId="7B1DE352">
            <w:pPr>
              <w:spacing w:line="260" w:lineRule="exact"/>
              <w:rPr>
                <w:color w:val="000000"/>
                <w:sz w:val="20"/>
                <w:szCs w:val="20"/>
              </w:rPr>
            </w:pPr>
            <w:r>
              <w:rPr>
                <w:color w:val="000000"/>
                <w:sz w:val="20"/>
                <w:szCs w:val="20"/>
              </w:rPr>
              <w:t>环境空气质量满足《环境空气质量标准》（GB3095-2012）及其修改单二级标准</w:t>
            </w:r>
          </w:p>
        </w:tc>
      </w:tr>
      <w:tr w14:paraId="0FF9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restart"/>
            <w:tcBorders>
              <w:left w:val="single" w:color="auto" w:sz="4" w:space="0"/>
              <w:right w:val="single" w:color="auto" w:sz="4" w:space="0"/>
            </w:tcBorders>
            <w:vAlign w:val="center"/>
          </w:tcPr>
          <w:p w14:paraId="32F676D1">
            <w:pPr>
              <w:spacing w:line="260" w:lineRule="exact"/>
              <w:jc w:val="center"/>
              <w:rPr>
                <w:sz w:val="20"/>
                <w:szCs w:val="20"/>
              </w:rPr>
            </w:pPr>
            <w:r>
              <w:rPr>
                <w:sz w:val="20"/>
                <w:szCs w:val="20"/>
              </w:rPr>
              <w:t>基础设施</w:t>
            </w:r>
            <w:r>
              <w:rPr>
                <w:rFonts w:hint="eastAsia"/>
                <w:sz w:val="20"/>
                <w:szCs w:val="20"/>
              </w:rPr>
              <w:t>/社会关注点</w:t>
            </w: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76AD54E5">
            <w:pPr>
              <w:spacing w:line="260" w:lineRule="exact"/>
              <w:jc w:val="center"/>
              <w:rPr>
                <w:sz w:val="20"/>
                <w:szCs w:val="20"/>
              </w:rPr>
            </w:pPr>
            <w:r>
              <w:rPr>
                <w:rFonts w:hint="eastAsia"/>
                <w:sz w:val="20"/>
                <w:szCs w:val="20"/>
              </w:rPr>
              <w:t>重点水利工程</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749566DF">
            <w:pPr>
              <w:spacing w:line="260" w:lineRule="exact"/>
              <w:jc w:val="center"/>
              <w:rPr>
                <w:kern w:val="0"/>
                <w:sz w:val="20"/>
                <w:szCs w:val="20"/>
              </w:rPr>
            </w:pPr>
            <w:r>
              <w:rPr>
                <w:rFonts w:hint="eastAsia"/>
                <w:kern w:val="0"/>
                <w:sz w:val="20"/>
                <w:szCs w:val="20"/>
              </w:rPr>
              <w:t>白水洞水库（中型水库）规划总库容1470万m</w:t>
            </w:r>
            <w:r>
              <w:rPr>
                <w:rFonts w:hint="eastAsia"/>
                <w:kern w:val="0"/>
                <w:sz w:val="20"/>
                <w:szCs w:val="20"/>
                <w:vertAlign w:val="superscript"/>
              </w:rPr>
              <w:t>3</w:t>
            </w:r>
            <w:r>
              <w:rPr>
                <w:rFonts w:hint="eastAsia"/>
                <w:kern w:val="0"/>
                <w:sz w:val="20"/>
                <w:szCs w:val="20"/>
              </w:rPr>
              <w:t>，供水量1600万m</w:t>
            </w:r>
            <w:r>
              <w:rPr>
                <w:rFonts w:hint="eastAsia"/>
                <w:kern w:val="0"/>
                <w:sz w:val="20"/>
                <w:szCs w:val="20"/>
                <w:vertAlign w:val="superscript"/>
              </w:rPr>
              <w:t>3</w:t>
            </w:r>
            <w:r>
              <w:rPr>
                <w:rFonts w:hint="eastAsia"/>
                <w:kern w:val="0"/>
                <w:sz w:val="20"/>
                <w:szCs w:val="20"/>
              </w:rPr>
              <w:t>，解决人饮10万人，新增灌溉面积0.40万亩。目前该水库处于规划阶段，现场未开工建设。白水洞水库（库区、淹没区等）位于规划的二郎勘查区上游，二郎勘查区与水库规划的管理房、料场、渣场存在重叠，规划井田范围已主动避让了水库规划建设范围，无重叠</w:t>
            </w:r>
          </w:p>
        </w:tc>
        <w:tc>
          <w:tcPr>
            <w:tcW w:w="2398" w:type="dxa"/>
            <w:tcBorders>
              <w:top w:val="single" w:color="auto" w:sz="4" w:space="0"/>
              <w:left w:val="single" w:color="auto" w:sz="4" w:space="0"/>
              <w:bottom w:val="single" w:color="auto" w:sz="4" w:space="0"/>
              <w:right w:val="single" w:color="auto" w:sz="4" w:space="0"/>
            </w:tcBorders>
            <w:vAlign w:val="center"/>
          </w:tcPr>
          <w:p w14:paraId="624416EC">
            <w:pPr>
              <w:spacing w:line="260" w:lineRule="exact"/>
              <w:jc w:val="center"/>
              <w:rPr>
                <w:sz w:val="20"/>
                <w:szCs w:val="20"/>
              </w:rPr>
            </w:pPr>
            <w:r>
              <w:rPr>
                <w:rFonts w:hint="eastAsia"/>
                <w:sz w:val="20"/>
                <w:szCs w:val="20"/>
              </w:rPr>
              <w:t>主动衔接工程规划和建设进展，实施绿色勘查，主动避让环境敏感区</w:t>
            </w:r>
          </w:p>
        </w:tc>
      </w:tr>
      <w:tr w14:paraId="2ED6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6CA4F9BA">
            <w:pPr>
              <w:spacing w:line="260" w:lineRule="exact"/>
              <w:rPr>
                <w:sz w:val="20"/>
                <w:szCs w:val="20"/>
              </w:rPr>
            </w:pPr>
          </w:p>
        </w:tc>
        <w:tc>
          <w:tcPr>
            <w:tcW w:w="672" w:type="dxa"/>
            <w:vMerge w:val="restart"/>
            <w:tcBorders>
              <w:top w:val="single" w:color="auto" w:sz="4" w:space="0"/>
              <w:left w:val="single" w:color="auto" w:sz="4" w:space="0"/>
              <w:right w:val="single" w:color="auto" w:sz="4" w:space="0"/>
            </w:tcBorders>
            <w:vAlign w:val="center"/>
          </w:tcPr>
          <w:p w14:paraId="75E15420">
            <w:pPr>
              <w:spacing w:line="260" w:lineRule="exact"/>
              <w:jc w:val="center"/>
              <w:rPr>
                <w:sz w:val="20"/>
                <w:szCs w:val="20"/>
              </w:rPr>
            </w:pPr>
            <w:r>
              <w:rPr>
                <w:rFonts w:hint="eastAsia"/>
                <w:sz w:val="20"/>
                <w:szCs w:val="20"/>
              </w:rPr>
              <w:t>现有</w:t>
            </w:r>
          </w:p>
        </w:tc>
        <w:tc>
          <w:tcPr>
            <w:tcW w:w="1047" w:type="dxa"/>
            <w:vMerge w:val="restart"/>
            <w:tcBorders>
              <w:top w:val="single" w:color="auto" w:sz="4" w:space="0"/>
              <w:left w:val="single" w:color="auto" w:sz="4" w:space="0"/>
              <w:right w:val="single" w:color="auto" w:sz="4" w:space="0"/>
            </w:tcBorders>
            <w:vAlign w:val="center"/>
          </w:tcPr>
          <w:p w14:paraId="1D531470">
            <w:pPr>
              <w:spacing w:line="260" w:lineRule="exact"/>
              <w:jc w:val="center"/>
              <w:rPr>
                <w:sz w:val="20"/>
                <w:szCs w:val="20"/>
              </w:rPr>
            </w:pPr>
            <w:r>
              <w:rPr>
                <w:rFonts w:hint="eastAsia"/>
                <w:sz w:val="20"/>
                <w:szCs w:val="20"/>
              </w:rPr>
              <w:t>高速公路</w:t>
            </w:r>
          </w:p>
        </w:tc>
        <w:tc>
          <w:tcPr>
            <w:tcW w:w="8282" w:type="dxa"/>
            <w:gridSpan w:val="2"/>
            <w:tcBorders>
              <w:top w:val="single" w:color="auto" w:sz="4" w:space="0"/>
              <w:left w:val="single" w:color="auto" w:sz="4" w:space="0"/>
              <w:right w:val="single" w:color="auto" w:sz="4" w:space="0"/>
            </w:tcBorders>
            <w:vAlign w:val="center"/>
          </w:tcPr>
          <w:p w14:paraId="4FB21410">
            <w:pPr>
              <w:spacing w:line="260" w:lineRule="exact"/>
              <w:jc w:val="center"/>
              <w:rPr>
                <w:kern w:val="0"/>
                <w:sz w:val="20"/>
                <w:szCs w:val="20"/>
              </w:rPr>
            </w:pPr>
            <w:r>
              <w:rPr>
                <w:kern w:val="0"/>
                <w:sz w:val="20"/>
                <w:szCs w:val="20"/>
              </w:rPr>
              <w:t>德江</w:t>
            </w:r>
            <w:r>
              <w:rPr>
                <w:rFonts w:hint="eastAsia"/>
                <w:kern w:val="0"/>
                <w:sz w:val="20"/>
                <w:szCs w:val="20"/>
              </w:rPr>
              <w:t>-</w:t>
            </w:r>
            <w:r>
              <w:rPr>
                <w:kern w:val="0"/>
                <w:sz w:val="20"/>
                <w:szCs w:val="20"/>
              </w:rPr>
              <w:t>习水高速公路是贵州省高速公路网规划6横7纵8联</w:t>
            </w:r>
            <w:r>
              <w:rPr>
                <w:rFonts w:hint="eastAsia"/>
                <w:kern w:val="0"/>
                <w:sz w:val="20"/>
                <w:szCs w:val="20"/>
              </w:rPr>
              <w:t>中的</w:t>
            </w:r>
            <w:r>
              <w:rPr>
                <w:kern w:val="0"/>
                <w:sz w:val="20"/>
                <w:szCs w:val="20"/>
              </w:rPr>
              <w:t>第1横</w:t>
            </w:r>
            <w:r>
              <w:rPr>
                <w:rFonts w:hint="eastAsia"/>
                <w:kern w:val="0"/>
                <w:sz w:val="20"/>
                <w:szCs w:val="20"/>
              </w:rPr>
              <w:t>，高速公路</w:t>
            </w:r>
            <w:r>
              <w:rPr>
                <w:kern w:val="0"/>
                <w:sz w:val="20"/>
                <w:szCs w:val="20"/>
              </w:rPr>
              <w:t>双向四车道，路基宽21.5米。</w:t>
            </w:r>
            <w:r>
              <w:rPr>
                <w:rFonts w:hint="eastAsia"/>
                <w:kern w:val="0"/>
                <w:sz w:val="20"/>
                <w:szCs w:val="20"/>
              </w:rPr>
              <w:t>该高速公路从规划矿区一片区的北部穿过，规划的天成和利达井田分列</w:t>
            </w:r>
            <w:r>
              <w:rPr>
                <w:kern w:val="0"/>
                <w:sz w:val="20"/>
                <w:szCs w:val="20"/>
              </w:rPr>
              <w:t>德江</w:t>
            </w:r>
            <w:r>
              <w:rPr>
                <w:rFonts w:hint="eastAsia"/>
                <w:kern w:val="0"/>
                <w:sz w:val="20"/>
                <w:szCs w:val="20"/>
              </w:rPr>
              <w:t>-</w:t>
            </w:r>
            <w:r>
              <w:rPr>
                <w:kern w:val="0"/>
                <w:sz w:val="20"/>
                <w:szCs w:val="20"/>
              </w:rPr>
              <w:t>习水高速公路</w:t>
            </w:r>
            <w:r>
              <w:rPr>
                <w:rFonts w:hint="eastAsia"/>
                <w:kern w:val="0"/>
                <w:sz w:val="20"/>
                <w:szCs w:val="20"/>
              </w:rPr>
              <w:t>东西两侧，规划井田开采区与高速公路不重叠</w:t>
            </w:r>
          </w:p>
        </w:tc>
        <w:tc>
          <w:tcPr>
            <w:tcW w:w="2398" w:type="dxa"/>
            <w:vMerge w:val="restart"/>
            <w:tcBorders>
              <w:top w:val="single" w:color="auto" w:sz="4" w:space="0"/>
              <w:left w:val="single" w:color="auto" w:sz="4" w:space="0"/>
              <w:right w:val="single" w:color="auto" w:sz="4" w:space="0"/>
            </w:tcBorders>
            <w:vAlign w:val="center"/>
          </w:tcPr>
          <w:p w14:paraId="724B6C31">
            <w:pPr>
              <w:spacing w:line="260" w:lineRule="exact"/>
              <w:jc w:val="center"/>
              <w:rPr>
                <w:sz w:val="20"/>
                <w:szCs w:val="20"/>
              </w:rPr>
            </w:pPr>
            <w:r>
              <w:rPr>
                <w:rFonts w:hint="eastAsia"/>
                <w:sz w:val="20"/>
                <w:szCs w:val="20"/>
              </w:rPr>
              <w:t>主动衔接工程规划和建设进展，按照《高速铁路安全防护管理办法》采取措施防止影响高速公路和铁路运输安全</w:t>
            </w:r>
          </w:p>
        </w:tc>
      </w:tr>
      <w:tr w14:paraId="73C0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38A2C609">
            <w:pPr>
              <w:spacing w:line="260" w:lineRule="exact"/>
              <w:rPr>
                <w:sz w:val="20"/>
                <w:szCs w:val="20"/>
              </w:rPr>
            </w:pPr>
          </w:p>
        </w:tc>
        <w:tc>
          <w:tcPr>
            <w:tcW w:w="672" w:type="dxa"/>
            <w:vMerge w:val="continue"/>
            <w:tcBorders>
              <w:left w:val="single" w:color="auto" w:sz="4" w:space="0"/>
              <w:right w:val="single" w:color="auto" w:sz="4" w:space="0"/>
            </w:tcBorders>
            <w:vAlign w:val="center"/>
          </w:tcPr>
          <w:p w14:paraId="6C835FF9">
            <w:pPr>
              <w:spacing w:line="260" w:lineRule="exact"/>
              <w:jc w:val="center"/>
              <w:rPr>
                <w:sz w:val="20"/>
                <w:szCs w:val="20"/>
              </w:rPr>
            </w:pPr>
          </w:p>
        </w:tc>
        <w:tc>
          <w:tcPr>
            <w:tcW w:w="1047" w:type="dxa"/>
            <w:vMerge w:val="continue"/>
            <w:tcBorders>
              <w:left w:val="single" w:color="auto" w:sz="4" w:space="0"/>
              <w:right w:val="single" w:color="auto" w:sz="4" w:space="0"/>
            </w:tcBorders>
            <w:vAlign w:val="center"/>
          </w:tcPr>
          <w:p w14:paraId="42202518">
            <w:pPr>
              <w:spacing w:line="260" w:lineRule="exact"/>
              <w:jc w:val="center"/>
              <w:rPr>
                <w:sz w:val="20"/>
                <w:szCs w:val="20"/>
              </w:rPr>
            </w:pPr>
          </w:p>
        </w:tc>
        <w:tc>
          <w:tcPr>
            <w:tcW w:w="8282" w:type="dxa"/>
            <w:gridSpan w:val="2"/>
            <w:tcBorders>
              <w:top w:val="single" w:color="auto" w:sz="4" w:space="0"/>
              <w:left w:val="single" w:color="auto" w:sz="4" w:space="0"/>
              <w:right w:val="single" w:color="auto" w:sz="4" w:space="0"/>
            </w:tcBorders>
            <w:vAlign w:val="center"/>
          </w:tcPr>
          <w:p w14:paraId="0F4B1799">
            <w:pPr>
              <w:spacing w:line="260" w:lineRule="exact"/>
              <w:jc w:val="center"/>
              <w:rPr>
                <w:kern w:val="0"/>
                <w:sz w:val="20"/>
                <w:szCs w:val="20"/>
              </w:rPr>
            </w:pPr>
            <w:r>
              <w:rPr>
                <w:kern w:val="0"/>
                <w:sz w:val="20"/>
                <w:szCs w:val="20"/>
              </w:rPr>
              <w:t>成都</w:t>
            </w:r>
            <w:r>
              <w:rPr>
                <w:rFonts w:hint="eastAsia"/>
                <w:kern w:val="0"/>
                <w:sz w:val="20"/>
                <w:szCs w:val="20"/>
              </w:rPr>
              <w:t>-</w:t>
            </w:r>
            <w:r>
              <w:rPr>
                <w:kern w:val="0"/>
                <w:sz w:val="20"/>
                <w:szCs w:val="20"/>
              </w:rPr>
              <w:t>遵义高速公路，简称蓉遵高速</w:t>
            </w:r>
            <w:r>
              <w:rPr>
                <w:rFonts w:hint="eastAsia"/>
                <w:kern w:val="0"/>
                <w:sz w:val="20"/>
                <w:szCs w:val="20"/>
              </w:rPr>
              <w:t>，</w:t>
            </w:r>
            <w:r>
              <w:rPr>
                <w:kern w:val="0"/>
                <w:sz w:val="20"/>
                <w:szCs w:val="20"/>
              </w:rPr>
              <w:t>连接四川省成都市和贵州省遵义市</w:t>
            </w:r>
            <w:r>
              <w:rPr>
                <w:rFonts w:hint="eastAsia"/>
                <w:kern w:val="0"/>
                <w:sz w:val="20"/>
                <w:szCs w:val="20"/>
              </w:rPr>
              <w:t>。该高速公路从规划矿区一片区的南部穿过，规划的新兴宏能井田和二郎勘查区分列该</w:t>
            </w:r>
            <w:r>
              <w:rPr>
                <w:kern w:val="0"/>
                <w:sz w:val="20"/>
                <w:szCs w:val="20"/>
              </w:rPr>
              <w:t>高速公路</w:t>
            </w:r>
            <w:r>
              <w:rPr>
                <w:rFonts w:hint="eastAsia"/>
                <w:kern w:val="0"/>
                <w:sz w:val="20"/>
                <w:szCs w:val="20"/>
              </w:rPr>
              <w:t>东西两侧，规划井田开采区与高速公路不重叠</w:t>
            </w:r>
          </w:p>
        </w:tc>
        <w:tc>
          <w:tcPr>
            <w:tcW w:w="2398" w:type="dxa"/>
            <w:vMerge w:val="continue"/>
            <w:tcBorders>
              <w:left w:val="single" w:color="auto" w:sz="4" w:space="0"/>
              <w:right w:val="single" w:color="auto" w:sz="4" w:space="0"/>
            </w:tcBorders>
            <w:vAlign w:val="center"/>
          </w:tcPr>
          <w:p w14:paraId="2367F129">
            <w:pPr>
              <w:spacing w:line="260" w:lineRule="exact"/>
              <w:jc w:val="center"/>
              <w:rPr>
                <w:sz w:val="20"/>
                <w:szCs w:val="20"/>
              </w:rPr>
            </w:pPr>
          </w:p>
        </w:tc>
      </w:tr>
      <w:tr w14:paraId="490D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302C7BD6">
            <w:pPr>
              <w:spacing w:line="260" w:lineRule="exact"/>
              <w:rPr>
                <w:sz w:val="20"/>
                <w:szCs w:val="20"/>
              </w:rPr>
            </w:pPr>
          </w:p>
        </w:tc>
        <w:tc>
          <w:tcPr>
            <w:tcW w:w="672" w:type="dxa"/>
            <w:vMerge w:val="restart"/>
            <w:tcBorders>
              <w:left w:val="single" w:color="auto" w:sz="4" w:space="0"/>
              <w:right w:val="single" w:color="auto" w:sz="4" w:space="0"/>
            </w:tcBorders>
            <w:vAlign w:val="center"/>
          </w:tcPr>
          <w:p w14:paraId="38E730BD">
            <w:pPr>
              <w:spacing w:line="260" w:lineRule="exact"/>
              <w:jc w:val="center"/>
              <w:rPr>
                <w:sz w:val="20"/>
                <w:szCs w:val="20"/>
              </w:rPr>
            </w:pPr>
            <w:r>
              <w:rPr>
                <w:rFonts w:hint="eastAsia"/>
                <w:sz w:val="20"/>
                <w:szCs w:val="20"/>
              </w:rPr>
              <w:t>规划</w:t>
            </w:r>
          </w:p>
        </w:tc>
        <w:tc>
          <w:tcPr>
            <w:tcW w:w="1047" w:type="dxa"/>
            <w:tcBorders>
              <w:left w:val="single" w:color="auto" w:sz="4" w:space="0"/>
              <w:right w:val="single" w:color="auto" w:sz="4" w:space="0"/>
            </w:tcBorders>
            <w:vAlign w:val="center"/>
          </w:tcPr>
          <w:p w14:paraId="35B20E88">
            <w:pPr>
              <w:spacing w:line="260" w:lineRule="exact"/>
              <w:jc w:val="center"/>
              <w:rPr>
                <w:sz w:val="20"/>
                <w:szCs w:val="20"/>
              </w:rPr>
            </w:pPr>
            <w:r>
              <w:rPr>
                <w:rFonts w:hint="eastAsia"/>
                <w:sz w:val="20"/>
                <w:szCs w:val="20"/>
              </w:rPr>
              <w:t>高速公路</w:t>
            </w:r>
          </w:p>
        </w:tc>
        <w:tc>
          <w:tcPr>
            <w:tcW w:w="8282" w:type="dxa"/>
            <w:gridSpan w:val="2"/>
            <w:tcBorders>
              <w:top w:val="single" w:color="auto" w:sz="4" w:space="0"/>
              <w:left w:val="single" w:color="auto" w:sz="4" w:space="0"/>
              <w:right w:val="single" w:color="auto" w:sz="4" w:space="0"/>
            </w:tcBorders>
            <w:vAlign w:val="center"/>
          </w:tcPr>
          <w:p w14:paraId="0F44404C">
            <w:pPr>
              <w:spacing w:line="260" w:lineRule="exact"/>
              <w:jc w:val="center"/>
              <w:rPr>
                <w:kern w:val="0"/>
                <w:sz w:val="20"/>
                <w:szCs w:val="20"/>
              </w:rPr>
            </w:pPr>
            <w:r>
              <w:rPr>
                <w:rFonts w:hint="eastAsia"/>
                <w:kern w:val="0"/>
                <w:sz w:val="20"/>
                <w:szCs w:val="20"/>
              </w:rPr>
              <w:t>合江-遵义高速和綦江-温水-花秋高速。目前上述高速公路均处于规划阶段（可研阶段），未开展实质性设计、选址选线和开工建设。根据习水县十四五交通规划图示走向，规划的桃林井田、兴隆井田、永安井田和二郎勘查区涉及上述规划高速公路</w:t>
            </w:r>
          </w:p>
        </w:tc>
        <w:tc>
          <w:tcPr>
            <w:tcW w:w="2398" w:type="dxa"/>
            <w:vMerge w:val="continue"/>
            <w:tcBorders>
              <w:left w:val="single" w:color="auto" w:sz="4" w:space="0"/>
              <w:right w:val="single" w:color="auto" w:sz="4" w:space="0"/>
            </w:tcBorders>
            <w:vAlign w:val="center"/>
          </w:tcPr>
          <w:p w14:paraId="026DC88F">
            <w:pPr>
              <w:spacing w:line="260" w:lineRule="exact"/>
              <w:jc w:val="center"/>
              <w:rPr>
                <w:sz w:val="20"/>
                <w:szCs w:val="20"/>
              </w:rPr>
            </w:pPr>
          </w:p>
        </w:tc>
      </w:tr>
      <w:tr w14:paraId="06ED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4B59FC2B">
            <w:pPr>
              <w:spacing w:line="260" w:lineRule="exact"/>
              <w:rPr>
                <w:sz w:val="20"/>
                <w:szCs w:val="20"/>
              </w:rPr>
            </w:pPr>
          </w:p>
        </w:tc>
        <w:tc>
          <w:tcPr>
            <w:tcW w:w="672" w:type="dxa"/>
            <w:vMerge w:val="continue"/>
            <w:tcBorders>
              <w:left w:val="single" w:color="auto" w:sz="4" w:space="0"/>
              <w:right w:val="single" w:color="auto" w:sz="4" w:space="0"/>
            </w:tcBorders>
            <w:vAlign w:val="center"/>
          </w:tcPr>
          <w:p w14:paraId="1DB09631">
            <w:pPr>
              <w:spacing w:line="260" w:lineRule="exact"/>
              <w:jc w:val="center"/>
              <w:rPr>
                <w:sz w:val="20"/>
                <w:szCs w:val="20"/>
              </w:rPr>
            </w:pPr>
          </w:p>
        </w:tc>
        <w:tc>
          <w:tcPr>
            <w:tcW w:w="1047" w:type="dxa"/>
            <w:tcBorders>
              <w:left w:val="single" w:color="auto" w:sz="4" w:space="0"/>
              <w:right w:val="single" w:color="auto" w:sz="4" w:space="0"/>
            </w:tcBorders>
            <w:vAlign w:val="center"/>
          </w:tcPr>
          <w:p w14:paraId="064EE41F">
            <w:pPr>
              <w:spacing w:line="260" w:lineRule="exact"/>
              <w:jc w:val="center"/>
              <w:rPr>
                <w:sz w:val="20"/>
                <w:szCs w:val="20"/>
              </w:rPr>
            </w:pPr>
            <w:r>
              <w:rPr>
                <w:rFonts w:hint="eastAsia"/>
                <w:sz w:val="20"/>
                <w:szCs w:val="20"/>
              </w:rPr>
              <w:t>高速铁路</w:t>
            </w:r>
          </w:p>
        </w:tc>
        <w:tc>
          <w:tcPr>
            <w:tcW w:w="8282" w:type="dxa"/>
            <w:gridSpan w:val="2"/>
            <w:tcBorders>
              <w:top w:val="single" w:color="auto" w:sz="4" w:space="0"/>
              <w:left w:val="single" w:color="auto" w:sz="4" w:space="0"/>
              <w:right w:val="single" w:color="auto" w:sz="4" w:space="0"/>
            </w:tcBorders>
            <w:vAlign w:val="center"/>
          </w:tcPr>
          <w:p w14:paraId="227DB270">
            <w:pPr>
              <w:spacing w:line="260" w:lineRule="exact"/>
              <w:jc w:val="center"/>
              <w:rPr>
                <w:kern w:val="0"/>
                <w:sz w:val="20"/>
                <w:szCs w:val="20"/>
              </w:rPr>
            </w:pPr>
            <w:r>
              <w:rPr>
                <w:kern w:val="0"/>
                <w:sz w:val="20"/>
                <w:szCs w:val="20"/>
              </w:rPr>
              <w:t>蓉遵高速铁路，又名成自泸遵高铁，起于成都东站，止于遵义站，速度目标值250-350km/h。</w:t>
            </w:r>
            <w:r>
              <w:rPr>
                <w:rFonts w:hint="eastAsia"/>
                <w:kern w:val="0"/>
                <w:sz w:val="20"/>
                <w:szCs w:val="20"/>
              </w:rPr>
              <w:t>目前上述高速铁路贵州段处于规划可研阶段，未开展实质性设计、选址选线和开工建设。根据习水县十四五交通规划图示走向，规划的二郎勘查区涉及上述规划高速铁路</w:t>
            </w:r>
          </w:p>
        </w:tc>
        <w:tc>
          <w:tcPr>
            <w:tcW w:w="2398" w:type="dxa"/>
            <w:vMerge w:val="continue"/>
            <w:tcBorders>
              <w:left w:val="single" w:color="auto" w:sz="4" w:space="0"/>
              <w:right w:val="single" w:color="auto" w:sz="4" w:space="0"/>
            </w:tcBorders>
            <w:vAlign w:val="center"/>
          </w:tcPr>
          <w:p w14:paraId="3E265411">
            <w:pPr>
              <w:spacing w:line="260" w:lineRule="exact"/>
              <w:jc w:val="center"/>
              <w:rPr>
                <w:sz w:val="20"/>
                <w:szCs w:val="20"/>
              </w:rPr>
            </w:pPr>
          </w:p>
        </w:tc>
      </w:tr>
      <w:tr w14:paraId="670E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76" w:type="dxa"/>
            <w:gridSpan w:val="2"/>
            <w:vMerge w:val="continue"/>
            <w:tcBorders>
              <w:left w:val="single" w:color="auto" w:sz="4" w:space="0"/>
              <w:right w:val="single" w:color="auto" w:sz="4" w:space="0"/>
            </w:tcBorders>
            <w:vAlign w:val="center"/>
          </w:tcPr>
          <w:p w14:paraId="7772FC86">
            <w:pPr>
              <w:spacing w:line="260" w:lineRule="exact"/>
              <w:rPr>
                <w:sz w:val="20"/>
                <w:szCs w:val="20"/>
              </w:rPr>
            </w:pPr>
          </w:p>
        </w:tc>
        <w:tc>
          <w:tcPr>
            <w:tcW w:w="1719" w:type="dxa"/>
            <w:gridSpan w:val="2"/>
            <w:tcBorders>
              <w:top w:val="single" w:color="auto" w:sz="4" w:space="0"/>
              <w:left w:val="single" w:color="auto" w:sz="4" w:space="0"/>
              <w:bottom w:val="single" w:color="auto" w:sz="4" w:space="0"/>
              <w:right w:val="single" w:color="auto" w:sz="4" w:space="0"/>
            </w:tcBorders>
            <w:vAlign w:val="center"/>
          </w:tcPr>
          <w:p w14:paraId="2295F141">
            <w:pPr>
              <w:spacing w:line="260" w:lineRule="exact"/>
              <w:jc w:val="center"/>
              <w:rPr>
                <w:sz w:val="20"/>
                <w:szCs w:val="20"/>
              </w:rPr>
            </w:pPr>
            <w:r>
              <w:rPr>
                <w:rFonts w:hint="eastAsia"/>
                <w:sz w:val="20"/>
                <w:szCs w:val="20"/>
              </w:rPr>
              <w:t>习水白酒集聚区</w:t>
            </w:r>
          </w:p>
        </w:tc>
        <w:tc>
          <w:tcPr>
            <w:tcW w:w="8282" w:type="dxa"/>
            <w:gridSpan w:val="2"/>
            <w:tcBorders>
              <w:top w:val="single" w:color="auto" w:sz="4" w:space="0"/>
              <w:left w:val="single" w:color="auto" w:sz="4" w:space="0"/>
              <w:bottom w:val="single" w:color="auto" w:sz="4" w:space="0"/>
              <w:right w:val="single" w:color="auto" w:sz="4" w:space="0"/>
            </w:tcBorders>
            <w:vAlign w:val="center"/>
          </w:tcPr>
          <w:p w14:paraId="55176E10">
            <w:pPr>
              <w:spacing w:line="260" w:lineRule="exact"/>
              <w:jc w:val="center"/>
              <w:rPr>
                <w:kern w:val="0"/>
                <w:sz w:val="20"/>
                <w:szCs w:val="20"/>
              </w:rPr>
            </w:pPr>
            <w:r>
              <w:rPr>
                <w:rFonts w:hint="eastAsia"/>
                <w:kern w:val="0"/>
                <w:sz w:val="20"/>
                <w:szCs w:val="20"/>
              </w:rPr>
              <w:t>规划区总面积2815.19公顷，涵盖12个产业组团，以</w:t>
            </w:r>
            <w:r>
              <w:rPr>
                <w:kern w:val="0"/>
                <w:sz w:val="20"/>
                <w:szCs w:val="20"/>
              </w:rPr>
              <w:t>白酒产业链、包材产业链、酿酒装备产业链、酒糟综合循环利用产业链</w:t>
            </w:r>
            <w:r>
              <w:rPr>
                <w:rFonts w:hint="eastAsia"/>
                <w:kern w:val="0"/>
                <w:sz w:val="20"/>
                <w:szCs w:val="20"/>
              </w:rPr>
              <w:t>为中点</w:t>
            </w:r>
            <w:r>
              <w:rPr>
                <w:kern w:val="0"/>
                <w:sz w:val="20"/>
                <w:szCs w:val="20"/>
              </w:rPr>
              <w:t>，推动白酒及其配套产业集群成链、集聚发展，推动白酒产业带动高粱等第一产业发展，带动物流、餐饮、交通运输等第三产业发展</w:t>
            </w:r>
            <w:r>
              <w:rPr>
                <w:rFonts w:hint="eastAsia"/>
                <w:kern w:val="0"/>
                <w:sz w:val="20"/>
                <w:szCs w:val="20"/>
              </w:rPr>
              <w:t>。园区规划</w:t>
            </w:r>
            <w:r>
              <w:rPr>
                <w:kern w:val="0"/>
                <w:sz w:val="20"/>
                <w:szCs w:val="20"/>
              </w:rPr>
              <w:t>范围内现有企业共计</w:t>
            </w:r>
            <w:r>
              <w:rPr>
                <w:rFonts w:hint="eastAsia"/>
                <w:kern w:val="0"/>
                <w:sz w:val="20"/>
                <w:szCs w:val="20"/>
              </w:rPr>
              <w:t>17</w:t>
            </w:r>
            <w:r>
              <w:rPr>
                <w:kern w:val="0"/>
                <w:sz w:val="20"/>
                <w:szCs w:val="20"/>
              </w:rPr>
              <w:t>家，其中</w:t>
            </w:r>
            <w:r>
              <w:rPr>
                <w:rFonts w:hint="eastAsia"/>
                <w:kern w:val="0"/>
                <w:sz w:val="20"/>
                <w:szCs w:val="20"/>
              </w:rPr>
              <w:t>规上企业6</w:t>
            </w:r>
            <w:r>
              <w:rPr>
                <w:kern w:val="0"/>
                <w:sz w:val="20"/>
                <w:szCs w:val="20"/>
              </w:rPr>
              <w:t>家，</w:t>
            </w:r>
            <w:r>
              <w:rPr>
                <w:rFonts w:hint="eastAsia"/>
                <w:kern w:val="0"/>
                <w:sz w:val="20"/>
                <w:szCs w:val="20"/>
              </w:rPr>
              <w:t>主要酒企有茅台、习湖、安酒等，集聚区涉及酒厂取水、酒厂污水处理排放等相关配套工程。规划矿区与集聚区规划范围不重叠，规划井田工业场地（下游方向）距离最近的酒业取水口最近距离约10km</w:t>
            </w:r>
          </w:p>
        </w:tc>
        <w:tc>
          <w:tcPr>
            <w:tcW w:w="2398" w:type="dxa"/>
            <w:tcBorders>
              <w:left w:val="single" w:color="auto" w:sz="4" w:space="0"/>
              <w:right w:val="single" w:color="auto" w:sz="4" w:space="0"/>
            </w:tcBorders>
            <w:vAlign w:val="center"/>
          </w:tcPr>
          <w:p w14:paraId="1EDBF88B">
            <w:pPr>
              <w:spacing w:line="260" w:lineRule="exact"/>
              <w:jc w:val="center"/>
              <w:rPr>
                <w:sz w:val="20"/>
                <w:szCs w:val="20"/>
              </w:rPr>
            </w:pPr>
            <w:r>
              <w:rPr>
                <w:rFonts w:hint="eastAsia"/>
                <w:sz w:val="20"/>
                <w:szCs w:val="20"/>
              </w:rPr>
              <w:t>与园区发展相协调，不突破区域环境容量，</w:t>
            </w:r>
            <w:r>
              <w:rPr>
                <w:rFonts w:hint="eastAsia"/>
                <w:color w:val="000000"/>
                <w:sz w:val="20"/>
                <w:szCs w:val="20"/>
              </w:rPr>
              <w:t>外排水不影响受纳水体上下游相关河段水功能需求</w:t>
            </w:r>
          </w:p>
        </w:tc>
      </w:tr>
    </w:tbl>
    <w:p w14:paraId="56AD3462">
      <w:pPr>
        <w:adjustRightInd w:val="0"/>
        <w:snapToGrid w:val="0"/>
        <w:spacing w:line="480" w:lineRule="exact"/>
        <w:ind w:firstLine="520"/>
        <w:rPr>
          <w:sz w:val="26"/>
          <w:szCs w:val="26"/>
        </w:rPr>
        <w:sectPr>
          <w:pgSz w:w="16838" w:h="11906" w:orient="landscape"/>
          <w:pgMar w:top="1588" w:right="1701" w:bottom="1588" w:left="1588" w:header="1021" w:footer="1021" w:gutter="0"/>
          <w:cols w:space="720" w:num="1"/>
          <w:titlePg/>
          <w:docGrid w:type="lines" w:linePitch="312" w:charSpace="0"/>
        </w:sectPr>
      </w:pPr>
    </w:p>
    <w:p w14:paraId="4FA37B3E">
      <w:pPr>
        <w:autoSpaceDE w:val="0"/>
        <w:autoSpaceDN w:val="0"/>
        <w:adjustRightInd w:val="0"/>
        <w:snapToGrid w:val="0"/>
        <w:spacing w:line="480" w:lineRule="exact"/>
        <w:ind w:firstLine="522" w:firstLineChars="200"/>
        <w:outlineLvl w:val="1"/>
        <w:rPr>
          <w:b/>
          <w:sz w:val="26"/>
          <w:szCs w:val="26"/>
        </w:rPr>
      </w:pPr>
      <w:bookmarkStart w:id="12" w:name="_Toc179298781"/>
      <w:r>
        <w:rPr>
          <w:rFonts w:hint="eastAsia"/>
          <w:b/>
          <w:sz w:val="26"/>
          <w:szCs w:val="26"/>
        </w:rPr>
        <w:t>2.2矿区所在区域环境概况</w:t>
      </w:r>
      <w:bookmarkEnd w:id="12"/>
    </w:p>
    <w:p w14:paraId="68057384">
      <w:pPr>
        <w:autoSpaceDE w:val="0"/>
        <w:autoSpaceDN w:val="0"/>
        <w:adjustRightInd w:val="0"/>
        <w:snapToGrid w:val="0"/>
        <w:spacing w:line="480" w:lineRule="exact"/>
        <w:ind w:firstLine="522" w:firstLineChars="200"/>
        <w:outlineLvl w:val="2"/>
        <w:rPr>
          <w:b/>
          <w:sz w:val="26"/>
          <w:szCs w:val="26"/>
        </w:rPr>
      </w:pPr>
      <w:bookmarkStart w:id="13" w:name="_Toc179298782"/>
      <w:r>
        <w:rPr>
          <w:rFonts w:hint="eastAsia"/>
          <w:b/>
          <w:sz w:val="26"/>
          <w:szCs w:val="26"/>
        </w:rPr>
        <w:t>2.2.1环境空气质量</w:t>
      </w:r>
      <w:bookmarkEnd w:id="13"/>
    </w:p>
    <w:p w14:paraId="5D62AF6D">
      <w:pPr>
        <w:adjustRightInd w:val="0"/>
        <w:snapToGrid w:val="0"/>
        <w:spacing w:line="480" w:lineRule="exact"/>
        <w:ind w:firstLine="520"/>
        <w:rPr>
          <w:sz w:val="26"/>
        </w:rPr>
      </w:pPr>
      <w:r>
        <w:rPr>
          <w:rFonts w:hint="eastAsia"/>
          <w:sz w:val="26"/>
        </w:rPr>
        <w:t>根据习水县环境空气质量例行监测资料，</w:t>
      </w:r>
      <w:r>
        <w:rPr>
          <w:rFonts w:hint="eastAsia"/>
          <w:sz w:val="26"/>
          <w:szCs w:val="26"/>
        </w:rPr>
        <w:t>习水县历年</w:t>
      </w:r>
      <w:r>
        <w:rPr>
          <w:sz w:val="26"/>
          <w:szCs w:val="26"/>
        </w:rPr>
        <w:t>均为</w:t>
      </w:r>
      <w:r>
        <w:rPr>
          <w:rFonts w:hint="eastAsia"/>
          <w:sz w:val="26"/>
          <w:szCs w:val="26"/>
        </w:rPr>
        <w:t>环境</w:t>
      </w:r>
      <w:r>
        <w:rPr>
          <w:sz w:val="26"/>
          <w:szCs w:val="26"/>
        </w:rPr>
        <w:t>空气达标区，</w:t>
      </w:r>
      <w:r>
        <w:rPr>
          <w:rFonts w:hint="eastAsia"/>
          <w:sz w:val="26"/>
          <w:szCs w:val="26"/>
        </w:rPr>
        <w:t>本次评价布置的补充监测点结果表明各监测点各项监测因子均满足其相应环境空气二类区质量标准要求，区域环境空气质量较好。</w:t>
      </w:r>
    </w:p>
    <w:p w14:paraId="2BCB5DE5">
      <w:pPr>
        <w:autoSpaceDE w:val="0"/>
        <w:autoSpaceDN w:val="0"/>
        <w:adjustRightInd w:val="0"/>
        <w:snapToGrid w:val="0"/>
        <w:spacing w:line="480" w:lineRule="exact"/>
        <w:ind w:firstLine="522" w:firstLineChars="200"/>
        <w:outlineLvl w:val="2"/>
        <w:rPr>
          <w:sz w:val="26"/>
          <w:szCs w:val="26"/>
        </w:rPr>
      </w:pPr>
      <w:bookmarkStart w:id="14" w:name="_Toc179298783"/>
      <w:r>
        <w:rPr>
          <w:rFonts w:hint="eastAsia"/>
          <w:b/>
          <w:sz w:val="26"/>
          <w:szCs w:val="26"/>
        </w:rPr>
        <w:t>2.2.2地表水环境质量</w:t>
      </w:r>
      <w:bookmarkEnd w:id="14"/>
    </w:p>
    <w:p w14:paraId="7F0F5E1D">
      <w:pPr>
        <w:adjustRightInd w:val="0"/>
        <w:snapToGrid w:val="0"/>
        <w:spacing w:line="480" w:lineRule="exact"/>
        <w:ind w:firstLine="520"/>
        <w:rPr>
          <w:sz w:val="26"/>
        </w:rPr>
      </w:pPr>
      <w:r>
        <w:rPr>
          <w:rFonts w:hint="eastAsia"/>
          <w:sz w:val="26"/>
          <w:szCs w:val="26"/>
        </w:rPr>
        <w:t>习水县集中式饮用水源、乡镇集中式饮用水源（包括地表水源、地下水源）的水质标准均满足《地表水环境质量标准》（GB 3838-2002）、《地下水质量标准》（GB/T 14848-2017）的相应标准要求，达标率均为100%；本矿区周边集中式地下水饮用水源等水质较好，满足相应水环境质量标准要求。本次补充的地表水监测断面监测结果显示，地表水评价河段中各类指标均达到《地表水环境质量标准》（GB3838-2002）中的Ⅲ类标准，矿区所在区域地表水环境质量总体较好。</w:t>
      </w:r>
    </w:p>
    <w:p w14:paraId="5B016B7A">
      <w:pPr>
        <w:autoSpaceDE w:val="0"/>
        <w:autoSpaceDN w:val="0"/>
        <w:adjustRightInd w:val="0"/>
        <w:snapToGrid w:val="0"/>
        <w:spacing w:line="480" w:lineRule="exact"/>
        <w:ind w:firstLine="522" w:firstLineChars="200"/>
        <w:outlineLvl w:val="2"/>
        <w:rPr>
          <w:sz w:val="26"/>
          <w:szCs w:val="26"/>
        </w:rPr>
      </w:pPr>
      <w:bookmarkStart w:id="15" w:name="_Toc179298784"/>
      <w:r>
        <w:rPr>
          <w:rFonts w:hint="eastAsia"/>
          <w:b/>
          <w:sz w:val="26"/>
          <w:szCs w:val="26"/>
        </w:rPr>
        <w:t>2.2.3地下水环境质量</w:t>
      </w:r>
      <w:bookmarkEnd w:id="15"/>
    </w:p>
    <w:p w14:paraId="6FDDD9C3">
      <w:pPr>
        <w:adjustRightInd w:val="0"/>
        <w:snapToGrid w:val="0"/>
        <w:spacing w:line="480" w:lineRule="exact"/>
        <w:ind w:firstLine="520"/>
        <w:rPr>
          <w:sz w:val="26"/>
          <w:szCs w:val="24"/>
        </w:rPr>
      </w:pPr>
      <w:r>
        <w:rPr>
          <w:rFonts w:hint="eastAsia"/>
          <w:sz w:val="26"/>
          <w:szCs w:val="24"/>
        </w:rPr>
        <w:t>由于矿区煤炭资源开采时间较早，以往未开展地下水跟踪监测，现有监测资料监测因子不全或因2017年地表水环境质量标准更新，无法开展历史监测数据对比，故本评价针对规划矿区水文地质单元分布情况，补充布置的地下水水质监测点监测</w:t>
      </w:r>
      <w:r>
        <w:rPr>
          <w:sz w:val="26"/>
          <w:szCs w:val="26"/>
        </w:rPr>
        <w:t>结果表明，各监测</w:t>
      </w:r>
      <w:r>
        <w:rPr>
          <w:rFonts w:hint="eastAsia"/>
          <w:sz w:val="26"/>
          <w:szCs w:val="26"/>
        </w:rPr>
        <w:t>点的各项</w:t>
      </w:r>
      <w:r>
        <w:rPr>
          <w:sz w:val="26"/>
          <w:szCs w:val="26"/>
        </w:rPr>
        <w:t>因子均满足《地下水质量标准》（GB/T14848-2017）的</w:t>
      </w:r>
      <w:r>
        <w:rPr>
          <w:rFonts w:hint="eastAsia"/>
          <w:sz w:val="26"/>
          <w:szCs w:val="26"/>
        </w:rPr>
        <w:t>Ⅲ</w:t>
      </w:r>
      <w:r>
        <w:rPr>
          <w:sz w:val="26"/>
          <w:szCs w:val="26"/>
        </w:rPr>
        <w:t>类标准</w:t>
      </w:r>
      <w:r>
        <w:rPr>
          <w:rFonts w:hint="eastAsia"/>
          <w:sz w:val="26"/>
          <w:szCs w:val="26"/>
        </w:rPr>
        <w:t>，地下水环境现状质量较好</w:t>
      </w:r>
      <w:r>
        <w:rPr>
          <w:rFonts w:hint="eastAsia"/>
          <w:sz w:val="26"/>
          <w:szCs w:val="24"/>
        </w:rPr>
        <w:t>。</w:t>
      </w:r>
    </w:p>
    <w:p w14:paraId="42AA36C7">
      <w:pPr>
        <w:autoSpaceDE w:val="0"/>
        <w:autoSpaceDN w:val="0"/>
        <w:adjustRightInd w:val="0"/>
        <w:snapToGrid w:val="0"/>
        <w:spacing w:line="480" w:lineRule="exact"/>
        <w:ind w:firstLine="522" w:firstLineChars="200"/>
        <w:outlineLvl w:val="2"/>
        <w:rPr>
          <w:b/>
          <w:sz w:val="26"/>
          <w:szCs w:val="26"/>
        </w:rPr>
      </w:pPr>
      <w:bookmarkStart w:id="16" w:name="_Toc179298785"/>
      <w:r>
        <w:rPr>
          <w:rFonts w:hint="eastAsia"/>
          <w:b/>
          <w:sz w:val="26"/>
          <w:szCs w:val="26"/>
        </w:rPr>
        <w:t>2.2.4声环境质量</w:t>
      </w:r>
      <w:bookmarkEnd w:id="16"/>
    </w:p>
    <w:p w14:paraId="1878CBC3">
      <w:pPr>
        <w:adjustRightInd w:val="0"/>
        <w:snapToGrid w:val="0"/>
        <w:spacing w:line="480" w:lineRule="exact"/>
        <w:ind w:firstLine="520"/>
        <w:rPr>
          <w:b/>
          <w:bCs/>
          <w:sz w:val="26"/>
          <w:szCs w:val="26"/>
        </w:rPr>
      </w:pPr>
      <w:r>
        <w:rPr>
          <w:rFonts w:hint="eastAsia"/>
          <w:sz w:val="26"/>
          <w:szCs w:val="26"/>
        </w:rPr>
        <w:t>根据规划矿区内声环境敏感点分布特征，本次评价选择具有代表性的矿区内规划煤矿工业场地（以生产矿井为主）周边居民点、主要运输道路旁、学校、主要城镇边界处等声环境敏感区进行了噪声现状监测。</w:t>
      </w:r>
      <w:r>
        <w:rPr>
          <w:sz w:val="26"/>
          <w:szCs w:val="26"/>
        </w:rPr>
        <w:t>监测结果均满足《声</w:t>
      </w:r>
      <w:r>
        <w:rPr>
          <w:rFonts w:hint="eastAsia"/>
          <w:sz w:val="26"/>
          <w:szCs w:val="26"/>
        </w:rPr>
        <w:t>环境质量</w:t>
      </w:r>
      <w:r>
        <w:rPr>
          <w:sz w:val="26"/>
          <w:szCs w:val="26"/>
        </w:rPr>
        <w:t>标准》（GB</w:t>
      </w:r>
      <w:r>
        <w:rPr>
          <w:rFonts w:hint="eastAsia"/>
          <w:sz w:val="26"/>
          <w:szCs w:val="26"/>
        </w:rPr>
        <w:t>3096</w:t>
      </w:r>
      <w:r>
        <w:rPr>
          <w:sz w:val="26"/>
          <w:szCs w:val="26"/>
        </w:rPr>
        <w:t>-2008）</w:t>
      </w:r>
      <w:r>
        <w:rPr>
          <w:rFonts w:hint="eastAsia"/>
          <w:sz w:val="26"/>
          <w:szCs w:val="26"/>
        </w:rPr>
        <w:t>相应</w:t>
      </w:r>
      <w:r>
        <w:rPr>
          <w:sz w:val="26"/>
          <w:szCs w:val="26"/>
        </w:rPr>
        <w:t>功能区标准要求</w:t>
      </w:r>
      <w:r>
        <w:rPr>
          <w:rFonts w:hint="eastAsia"/>
          <w:sz w:val="26"/>
          <w:szCs w:val="26"/>
        </w:rPr>
        <w:t>。</w:t>
      </w:r>
    </w:p>
    <w:p w14:paraId="6155CD23">
      <w:pPr>
        <w:autoSpaceDE w:val="0"/>
        <w:autoSpaceDN w:val="0"/>
        <w:adjustRightInd w:val="0"/>
        <w:snapToGrid w:val="0"/>
        <w:spacing w:line="480" w:lineRule="exact"/>
        <w:ind w:firstLine="522" w:firstLineChars="200"/>
        <w:outlineLvl w:val="2"/>
        <w:rPr>
          <w:b/>
          <w:sz w:val="26"/>
          <w:szCs w:val="26"/>
        </w:rPr>
      </w:pPr>
      <w:bookmarkStart w:id="17" w:name="_Toc179298786"/>
      <w:r>
        <w:rPr>
          <w:rFonts w:hint="eastAsia"/>
          <w:b/>
          <w:sz w:val="26"/>
          <w:szCs w:val="26"/>
        </w:rPr>
        <w:t>2.2.5土壤环境</w:t>
      </w:r>
      <w:bookmarkEnd w:id="17"/>
    </w:p>
    <w:p w14:paraId="085CA771">
      <w:pPr>
        <w:adjustRightInd w:val="0"/>
        <w:snapToGrid w:val="0"/>
        <w:spacing w:line="480" w:lineRule="exact"/>
        <w:ind w:firstLine="520" w:firstLineChars="200"/>
        <w:rPr>
          <w:color w:val="000000"/>
          <w:sz w:val="26"/>
          <w:szCs w:val="26"/>
        </w:rPr>
      </w:pPr>
      <w:r>
        <w:rPr>
          <w:rFonts w:hint="eastAsia"/>
          <w:sz w:val="26"/>
          <w:szCs w:val="26"/>
        </w:rPr>
        <w:t>本次评价结合规划矿区土壤类型分布情况，</w:t>
      </w:r>
      <w:r>
        <w:rPr>
          <w:sz w:val="26"/>
          <w:szCs w:val="26"/>
        </w:rPr>
        <w:t>设置</w:t>
      </w:r>
      <w:r>
        <w:rPr>
          <w:rFonts w:hint="eastAsia"/>
          <w:sz w:val="26"/>
          <w:szCs w:val="26"/>
        </w:rPr>
        <w:t>了土壤</w:t>
      </w:r>
      <w:r>
        <w:rPr>
          <w:sz w:val="26"/>
          <w:szCs w:val="26"/>
        </w:rPr>
        <w:t>监测点，</w:t>
      </w:r>
      <w:r>
        <w:rPr>
          <w:rFonts w:hint="eastAsia"/>
          <w:sz w:val="26"/>
          <w:szCs w:val="26"/>
        </w:rPr>
        <w:t>用地类型包括了建设用地和农用地。各土壤环境监测点的各项监测指标均满足《土壤环境质量 建设用地土壤污染风险管控标准》（GB36600-2018）第二类用地筛选值标准或《土壤环境质量 农用地土壤污染风险管控标准》(GB15618-2018)土</w:t>
      </w:r>
      <w:r>
        <w:rPr>
          <w:rFonts w:hint="eastAsia"/>
          <w:color w:val="000000"/>
          <w:sz w:val="26"/>
          <w:szCs w:val="26"/>
        </w:rPr>
        <w:t>壤污染风险筛选值，表明区域内的土壤环境质量较好。</w:t>
      </w:r>
    </w:p>
    <w:p w14:paraId="7C9C284E">
      <w:pPr>
        <w:autoSpaceDE w:val="0"/>
        <w:autoSpaceDN w:val="0"/>
        <w:adjustRightInd w:val="0"/>
        <w:snapToGrid w:val="0"/>
        <w:spacing w:line="480" w:lineRule="exact"/>
        <w:ind w:firstLine="522" w:firstLineChars="200"/>
        <w:outlineLvl w:val="1"/>
        <w:rPr>
          <w:b/>
          <w:sz w:val="26"/>
          <w:szCs w:val="26"/>
        </w:rPr>
      </w:pPr>
      <w:bookmarkStart w:id="18" w:name="_Toc179298787"/>
      <w:r>
        <w:rPr>
          <w:rFonts w:hint="eastAsia"/>
          <w:b/>
          <w:sz w:val="26"/>
          <w:szCs w:val="26"/>
        </w:rPr>
        <w:t>2.3生态环境现状</w:t>
      </w:r>
      <w:bookmarkEnd w:id="18"/>
    </w:p>
    <w:p w14:paraId="4CDD924B">
      <w:pPr>
        <w:adjustRightInd w:val="0"/>
        <w:snapToGrid w:val="0"/>
        <w:spacing w:line="480" w:lineRule="exact"/>
        <w:ind w:firstLine="520"/>
        <w:rPr>
          <w:bCs/>
          <w:color w:val="000000"/>
          <w:sz w:val="26"/>
          <w:szCs w:val="26"/>
        </w:rPr>
      </w:pPr>
      <w:r>
        <w:rPr>
          <w:bCs/>
          <w:color w:val="000000"/>
          <w:sz w:val="26"/>
          <w:szCs w:val="26"/>
        </w:rPr>
        <w:t>根据</w:t>
      </w:r>
      <w:r>
        <w:rPr>
          <w:rFonts w:hint="eastAsia"/>
          <w:bCs/>
          <w:color w:val="000000"/>
          <w:sz w:val="26"/>
          <w:szCs w:val="26"/>
        </w:rPr>
        <w:t>《贵州省生态功能区划（修编）》，本矿区主要涉及“Ⅱ中部湿润亚热带喀斯特脆弱生态区”。</w:t>
      </w:r>
    </w:p>
    <w:p w14:paraId="55E80A8F">
      <w:pPr>
        <w:adjustRightInd w:val="0"/>
        <w:snapToGrid w:val="0"/>
        <w:spacing w:line="480" w:lineRule="exact"/>
        <w:ind w:firstLine="520"/>
        <w:rPr>
          <w:bCs/>
          <w:color w:val="000000"/>
          <w:sz w:val="26"/>
          <w:szCs w:val="26"/>
        </w:rPr>
      </w:pPr>
      <w:r>
        <w:rPr>
          <w:sz w:val="26"/>
          <w:szCs w:val="26"/>
        </w:rPr>
        <w:t>评价区生态系统生产力较高，区域生态系统的结构与功能较稳定，生态系统较为完整，具有较强的恢复稳定性，评价范围内植被类型较为丰富，景观多样性程度较为复杂，异质化程度较高，具有一定的阻抗稳定性。</w:t>
      </w:r>
    </w:p>
    <w:bookmarkEnd w:id="4"/>
    <w:p w14:paraId="3EEC46B2">
      <w:pPr>
        <w:autoSpaceDE w:val="0"/>
        <w:autoSpaceDN w:val="0"/>
        <w:adjustRightInd w:val="0"/>
        <w:snapToGrid w:val="0"/>
        <w:spacing w:line="480" w:lineRule="exact"/>
        <w:ind w:firstLine="522" w:firstLineChars="200"/>
        <w:outlineLvl w:val="1"/>
        <w:rPr>
          <w:b/>
          <w:sz w:val="26"/>
          <w:szCs w:val="26"/>
        </w:rPr>
      </w:pPr>
      <w:bookmarkStart w:id="19" w:name="_Toc179298788"/>
      <w:bookmarkStart w:id="20" w:name="_Toc89101477"/>
      <w:r>
        <w:rPr>
          <w:rFonts w:hint="eastAsia"/>
          <w:b/>
          <w:sz w:val="26"/>
          <w:szCs w:val="26"/>
        </w:rPr>
        <w:t>2.4“三线</w:t>
      </w:r>
      <w:r>
        <w:rPr>
          <w:b/>
          <w:sz w:val="26"/>
          <w:szCs w:val="26"/>
        </w:rPr>
        <w:t>一单</w:t>
      </w:r>
      <w:r>
        <w:rPr>
          <w:rFonts w:hint="eastAsia"/>
          <w:b/>
          <w:sz w:val="26"/>
          <w:szCs w:val="26"/>
        </w:rPr>
        <w:t>”</w:t>
      </w:r>
      <w:r>
        <w:rPr>
          <w:b/>
          <w:sz w:val="26"/>
          <w:szCs w:val="26"/>
        </w:rPr>
        <w:t>符合性</w:t>
      </w:r>
      <w:bookmarkEnd w:id="19"/>
      <w:bookmarkEnd w:id="20"/>
    </w:p>
    <w:p w14:paraId="5A16BE2A">
      <w:pPr>
        <w:adjustRightInd w:val="0"/>
        <w:snapToGrid w:val="0"/>
        <w:spacing w:line="480" w:lineRule="exact"/>
        <w:ind w:firstLine="520"/>
        <w:rPr>
          <w:sz w:val="26"/>
        </w:rPr>
      </w:pPr>
      <w:r>
        <w:rPr>
          <w:rFonts w:hint="eastAsia"/>
          <w:sz w:val="26"/>
        </w:rPr>
        <w:t>根据遵义市“三线一单”生态环境分区管控实施方案，生态环境分区管控实施方案修编范围内</w:t>
      </w:r>
      <w:r>
        <w:rPr>
          <w:sz w:val="26"/>
        </w:rPr>
        <w:t>无生态保护红线分布</w:t>
      </w:r>
      <w:r>
        <w:rPr>
          <w:rFonts w:hint="eastAsia"/>
          <w:sz w:val="26"/>
        </w:rPr>
        <w:t>，规划矿区及1</w:t>
      </w:r>
      <w:r>
        <w:rPr>
          <w:sz w:val="26"/>
        </w:rPr>
        <w:t>km生态</w:t>
      </w:r>
      <w:r>
        <w:rPr>
          <w:rFonts w:hint="eastAsia"/>
          <w:sz w:val="26"/>
        </w:rPr>
        <w:t>评价</w:t>
      </w:r>
      <w:r>
        <w:rPr>
          <w:sz w:val="26"/>
        </w:rPr>
        <w:t>范围</w:t>
      </w:r>
      <w:r>
        <w:rPr>
          <w:rFonts w:hint="eastAsia"/>
          <w:sz w:val="26"/>
        </w:rPr>
        <w:t>主要涉及习水县的“水源涵养和生物多样性生态功能极重要区”优先保护单元和一般管控单元、重点管控单元</w:t>
      </w:r>
      <w:r>
        <w:rPr>
          <w:sz w:val="26"/>
        </w:rPr>
        <w:t>。</w:t>
      </w:r>
      <w:r>
        <w:rPr>
          <w:rFonts w:hint="eastAsia"/>
          <w:sz w:val="26"/>
        </w:rPr>
        <w:t>二郎矿区规划修编不涉及区域性环境管控要求中的禁止和限制开发建设活动，通过采取积极的地下水保护措施；瓦斯、煤矸石、矿井水最大程度综合利用措施以及生态保护和恢复措施后，规划矿区建设符合当地“三线一单”生态环境分区管控要求。</w:t>
      </w:r>
    </w:p>
    <w:p w14:paraId="09729608">
      <w:pPr>
        <w:adjustRightInd w:val="0"/>
        <w:snapToGrid w:val="0"/>
        <w:spacing w:line="480" w:lineRule="exact"/>
        <w:ind w:firstLine="520"/>
        <w:rPr>
          <w:sz w:val="26"/>
        </w:rPr>
      </w:pPr>
    </w:p>
    <w:p w14:paraId="3C447BCB">
      <w:pPr>
        <w:adjustRightInd w:val="0"/>
        <w:snapToGrid w:val="0"/>
        <w:spacing w:line="480" w:lineRule="exact"/>
        <w:ind w:firstLine="520"/>
        <w:rPr>
          <w:sz w:val="26"/>
        </w:rPr>
      </w:pPr>
    </w:p>
    <w:p w14:paraId="145248CC">
      <w:pPr>
        <w:widowControl/>
        <w:jc w:val="left"/>
        <w:rPr>
          <w:b/>
          <w:sz w:val="26"/>
          <w:szCs w:val="26"/>
        </w:rPr>
      </w:pPr>
      <w:bookmarkStart w:id="21" w:name="_Toc165999704"/>
      <w:bookmarkStart w:id="22" w:name="_Toc89101478"/>
      <w:r>
        <w:rPr>
          <w:b/>
          <w:sz w:val="26"/>
          <w:szCs w:val="26"/>
        </w:rPr>
        <w:br w:type="page"/>
      </w:r>
    </w:p>
    <w:p w14:paraId="57DC4D86">
      <w:pPr>
        <w:spacing w:before="156" w:beforeLines="50" w:after="156" w:afterLines="50"/>
        <w:ind w:firstLine="602"/>
        <w:jc w:val="center"/>
        <w:outlineLvl w:val="0"/>
        <w:rPr>
          <w:b/>
          <w:sz w:val="30"/>
          <w:szCs w:val="30"/>
        </w:rPr>
      </w:pPr>
      <w:bookmarkStart w:id="23" w:name="_Toc179298789"/>
      <w:r>
        <w:rPr>
          <w:b/>
          <w:sz w:val="30"/>
          <w:szCs w:val="30"/>
        </w:rPr>
        <w:t xml:space="preserve">3 </w:t>
      </w:r>
      <w:r>
        <w:rPr>
          <w:rFonts w:hint="eastAsia"/>
          <w:b/>
          <w:sz w:val="30"/>
          <w:szCs w:val="30"/>
        </w:rPr>
        <w:t>矿区开发现状</w:t>
      </w:r>
      <w:r>
        <w:rPr>
          <w:b/>
          <w:sz w:val="30"/>
          <w:szCs w:val="30"/>
        </w:rPr>
        <w:t>及回顾性评价</w:t>
      </w:r>
      <w:bookmarkEnd w:id="21"/>
      <w:bookmarkEnd w:id="22"/>
      <w:bookmarkEnd w:id="23"/>
    </w:p>
    <w:p w14:paraId="778F633E">
      <w:pPr>
        <w:autoSpaceDE w:val="0"/>
        <w:autoSpaceDN w:val="0"/>
        <w:adjustRightInd w:val="0"/>
        <w:snapToGrid w:val="0"/>
        <w:spacing w:line="480" w:lineRule="exact"/>
        <w:ind w:firstLine="522" w:firstLineChars="200"/>
        <w:outlineLvl w:val="1"/>
        <w:rPr>
          <w:b/>
          <w:sz w:val="26"/>
          <w:szCs w:val="26"/>
        </w:rPr>
      </w:pPr>
      <w:bookmarkStart w:id="24" w:name="_Toc89101479"/>
      <w:bookmarkStart w:id="25" w:name="_Toc179298790"/>
      <w:r>
        <w:rPr>
          <w:b/>
          <w:sz w:val="26"/>
          <w:szCs w:val="26"/>
        </w:rPr>
        <w:t>3.1矿区开发现状</w:t>
      </w:r>
      <w:bookmarkEnd w:id="24"/>
      <w:bookmarkEnd w:id="25"/>
    </w:p>
    <w:p w14:paraId="09514A0A">
      <w:pPr>
        <w:spacing w:line="480" w:lineRule="exact"/>
        <w:ind w:firstLine="520" w:firstLineChars="200"/>
        <w:rPr>
          <w:sz w:val="26"/>
        </w:rPr>
      </w:pPr>
      <w:r>
        <w:rPr>
          <w:rFonts w:hint="eastAsia"/>
          <w:sz w:val="26"/>
          <w:szCs w:val="26"/>
        </w:rPr>
        <w:t>根据现场调查，原二郎矿区内现有煤矿7处、关闭退出矿井5处，总生产能力255万吨/年。</w:t>
      </w:r>
    </w:p>
    <w:p w14:paraId="09792066">
      <w:pPr>
        <w:autoSpaceDE w:val="0"/>
        <w:autoSpaceDN w:val="0"/>
        <w:adjustRightInd w:val="0"/>
        <w:snapToGrid w:val="0"/>
        <w:spacing w:line="480" w:lineRule="exact"/>
        <w:ind w:firstLine="522" w:firstLineChars="200"/>
        <w:outlineLvl w:val="1"/>
        <w:rPr>
          <w:b/>
          <w:sz w:val="26"/>
          <w:szCs w:val="26"/>
        </w:rPr>
      </w:pPr>
      <w:bookmarkStart w:id="26" w:name="_Toc89101480"/>
      <w:bookmarkStart w:id="27" w:name="_Toc179298791"/>
      <w:r>
        <w:rPr>
          <w:b/>
          <w:sz w:val="26"/>
          <w:szCs w:val="26"/>
        </w:rPr>
        <w:t>3.2矿区开发环境影响回顾性评价</w:t>
      </w:r>
      <w:bookmarkEnd w:id="26"/>
      <w:bookmarkEnd w:id="27"/>
    </w:p>
    <w:p w14:paraId="6B125980">
      <w:pPr>
        <w:autoSpaceDE w:val="0"/>
        <w:autoSpaceDN w:val="0"/>
        <w:adjustRightInd w:val="0"/>
        <w:snapToGrid w:val="0"/>
        <w:spacing w:line="480" w:lineRule="exact"/>
        <w:ind w:firstLine="522" w:firstLineChars="200"/>
        <w:outlineLvl w:val="2"/>
        <w:rPr>
          <w:b/>
          <w:sz w:val="26"/>
          <w:szCs w:val="26"/>
        </w:rPr>
      </w:pPr>
      <w:bookmarkStart w:id="28" w:name="_Toc179298792"/>
      <w:r>
        <w:rPr>
          <w:rFonts w:hint="eastAsia"/>
          <w:b/>
          <w:sz w:val="26"/>
          <w:szCs w:val="26"/>
        </w:rPr>
        <w:t>3.2.1</w:t>
      </w:r>
      <w:r>
        <w:rPr>
          <w:b/>
          <w:sz w:val="26"/>
          <w:szCs w:val="26"/>
        </w:rPr>
        <w:t>生态环境影响回顾性评价</w:t>
      </w:r>
      <w:bookmarkEnd w:id="28"/>
    </w:p>
    <w:p w14:paraId="4C2B461B">
      <w:pPr>
        <w:adjustRightInd w:val="0"/>
        <w:snapToGrid w:val="0"/>
        <w:spacing w:line="480" w:lineRule="exact"/>
        <w:ind w:firstLine="520"/>
        <w:rPr>
          <w:sz w:val="26"/>
        </w:rPr>
      </w:pPr>
      <w:r>
        <w:rPr>
          <w:rFonts w:hint="eastAsia"/>
          <w:sz w:val="26"/>
        </w:rPr>
        <w:t>规划区</w:t>
      </w:r>
      <w:r>
        <w:rPr>
          <w:sz w:val="26"/>
        </w:rPr>
        <w:t>内</w:t>
      </w:r>
      <w:r>
        <w:rPr>
          <w:rFonts w:hint="eastAsia"/>
          <w:sz w:val="26"/>
        </w:rPr>
        <w:t>现有煤矿</w:t>
      </w:r>
      <w:r>
        <w:rPr>
          <w:sz w:val="26"/>
        </w:rPr>
        <w:t>开采方式</w:t>
      </w:r>
      <w:r>
        <w:rPr>
          <w:rFonts w:hint="eastAsia"/>
          <w:sz w:val="26"/>
        </w:rPr>
        <w:t>均</w:t>
      </w:r>
      <w:r>
        <w:rPr>
          <w:sz w:val="26"/>
        </w:rPr>
        <w:t>为</w:t>
      </w:r>
      <w:r>
        <w:rPr>
          <w:rFonts w:hint="eastAsia"/>
          <w:sz w:val="26"/>
        </w:rPr>
        <w:t>井工</w:t>
      </w:r>
      <w:r>
        <w:rPr>
          <w:sz w:val="26"/>
        </w:rPr>
        <w:t>开采，</w:t>
      </w:r>
      <w:r>
        <w:rPr>
          <w:rFonts w:hint="eastAsia"/>
          <w:sz w:val="26"/>
        </w:rPr>
        <w:t>地面</w:t>
      </w:r>
      <w:r>
        <w:rPr>
          <w:sz w:val="26"/>
        </w:rPr>
        <w:t>工程占地面积较小，且煤层开采深度</w:t>
      </w:r>
      <w:r>
        <w:rPr>
          <w:rFonts w:hint="eastAsia"/>
          <w:sz w:val="26"/>
        </w:rPr>
        <w:t>较深</w:t>
      </w:r>
      <w:r>
        <w:rPr>
          <w:sz w:val="26"/>
        </w:rPr>
        <w:t>，开采厚度较</w:t>
      </w:r>
      <w:r>
        <w:rPr>
          <w:rFonts w:hint="eastAsia"/>
          <w:sz w:val="26"/>
        </w:rPr>
        <w:t>薄</w:t>
      </w:r>
      <w:r>
        <w:rPr>
          <w:sz w:val="26"/>
        </w:rPr>
        <w:t>，</w:t>
      </w:r>
      <w:r>
        <w:rPr>
          <w:rFonts w:hint="eastAsia"/>
          <w:sz w:val="26"/>
        </w:rPr>
        <w:t>产生</w:t>
      </w:r>
      <w:r>
        <w:rPr>
          <w:sz w:val="26"/>
        </w:rPr>
        <w:t>的</w:t>
      </w:r>
      <w:r>
        <w:rPr>
          <w:rFonts w:hint="eastAsia"/>
          <w:sz w:val="26"/>
        </w:rPr>
        <w:t>地表沉陷</w:t>
      </w:r>
      <w:r>
        <w:rPr>
          <w:sz w:val="26"/>
        </w:rPr>
        <w:t>影响较小，</w:t>
      </w:r>
      <w:r>
        <w:rPr>
          <w:rFonts w:hint="eastAsia"/>
          <w:sz w:val="26"/>
        </w:rPr>
        <w:t>采空区地表未发现地裂缝、塌陷坑、塌陷台阶等地质灾害，未对矿区</w:t>
      </w:r>
      <w:r>
        <w:rPr>
          <w:sz w:val="26"/>
        </w:rPr>
        <w:t>内土地利用格局造成较大影响</w:t>
      </w:r>
      <w:r>
        <w:rPr>
          <w:rFonts w:hint="eastAsia"/>
          <w:sz w:val="26"/>
        </w:rPr>
        <w:t>。规划区</w:t>
      </w:r>
      <w:r>
        <w:rPr>
          <w:sz w:val="26"/>
        </w:rPr>
        <w:t>内已有</w:t>
      </w:r>
      <w:r>
        <w:rPr>
          <w:rFonts w:hint="eastAsia"/>
          <w:sz w:val="26"/>
        </w:rPr>
        <w:t>煤炭</w:t>
      </w:r>
      <w:r>
        <w:rPr>
          <w:sz w:val="26"/>
        </w:rPr>
        <w:t>开采活动未对</w:t>
      </w:r>
      <w:r>
        <w:rPr>
          <w:rFonts w:hint="eastAsia"/>
          <w:sz w:val="26"/>
        </w:rPr>
        <w:t>植被</w:t>
      </w:r>
      <w:r>
        <w:rPr>
          <w:sz w:val="26"/>
        </w:rPr>
        <w:t>的自然演替造成扰动</w:t>
      </w:r>
      <w:r>
        <w:rPr>
          <w:rFonts w:hint="eastAsia"/>
          <w:sz w:val="26"/>
        </w:rPr>
        <w:t>，</w:t>
      </w:r>
      <w:r>
        <w:rPr>
          <w:sz w:val="26"/>
        </w:rPr>
        <w:t>对区域植被类型</w:t>
      </w:r>
      <w:r>
        <w:rPr>
          <w:rFonts w:hint="eastAsia"/>
          <w:sz w:val="26"/>
        </w:rPr>
        <w:t>及</w:t>
      </w:r>
      <w:r>
        <w:rPr>
          <w:sz w:val="26"/>
        </w:rPr>
        <w:t>分布影响较小</w:t>
      </w:r>
      <w:r>
        <w:rPr>
          <w:rFonts w:hint="eastAsia"/>
          <w:sz w:val="26"/>
        </w:rPr>
        <w:t>，</w:t>
      </w:r>
      <w:r>
        <w:rPr>
          <w:sz w:val="26"/>
        </w:rPr>
        <w:t>未</w:t>
      </w:r>
      <w:r>
        <w:rPr>
          <w:rFonts w:hint="eastAsia"/>
          <w:sz w:val="26"/>
        </w:rPr>
        <w:t>加重</w:t>
      </w:r>
      <w:r>
        <w:rPr>
          <w:sz w:val="26"/>
        </w:rPr>
        <w:t>区域水土流失现象，</w:t>
      </w:r>
      <w:r>
        <w:rPr>
          <w:rFonts w:hint="eastAsia"/>
          <w:sz w:val="26"/>
        </w:rPr>
        <w:t>未对</w:t>
      </w:r>
      <w:r>
        <w:rPr>
          <w:sz w:val="26"/>
        </w:rPr>
        <w:t>区域景观生态格局及</w:t>
      </w:r>
      <w:r>
        <w:rPr>
          <w:rFonts w:hint="eastAsia"/>
          <w:sz w:val="26"/>
        </w:rPr>
        <w:t>稳定性</w:t>
      </w:r>
      <w:r>
        <w:rPr>
          <w:sz w:val="26"/>
        </w:rPr>
        <w:t>造成</w:t>
      </w:r>
      <w:r>
        <w:rPr>
          <w:rFonts w:hint="eastAsia"/>
          <w:sz w:val="26"/>
        </w:rPr>
        <w:t>较大</w:t>
      </w:r>
      <w:r>
        <w:rPr>
          <w:sz w:val="26"/>
        </w:rPr>
        <w:t>影响</w:t>
      </w:r>
      <w:r>
        <w:rPr>
          <w:rFonts w:hint="eastAsia"/>
          <w:sz w:val="26"/>
        </w:rPr>
        <w:t>。</w:t>
      </w:r>
    </w:p>
    <w:p w14:paraId="2D491F10">
      <w:pPr>
        <w:autoSpaceDE w:val="0"/>
        <w:autoSpaceDN w:val="0"/>
        <w:adjustRightInd w:val="0"/>
        <w:snapToGrid w:val="0"/>
        <w:spacing w:line="480" w:lineRule="exact"/>
        <w:ind w:firstLine="522" w:firstLineChars="200"/>
        <w:outlineLvl w:val="2"/>
        <w:rPr>
          <w:b/>
          <w:sz w:val="26"/>
          <w:szCs w:val="26"/>
        </w:rPr>
      </w:pPr>
      <w:bookmarkStart w:id="29" w:name="_Toc179298793"/>
      <w:r>
        <w:rPr>
          <w:rFonts w:hint="eastAsia"/>
          <w:b/>
          <w:sz w:val="26"/>
          <w:szCs w:val="26"/>
        </w:rPr>
        <w:t>3.2.2</w:t>
      </w:r>
      <w:r>
        <w:rPr>
          <w:b/>
          <w:sz w:val="26"/>
          <w:szCs w:val="26"/>
        </w:rPr>
        <w:t>环境空气回顾性评价</w:t>
      </w:r>
      <w:bookmarkEnd w:id="29"/>
    </w:p>
    <w:p w14:paraId="03211061">
      <w:pPr>
        <w:adjustRightInd w:val="0"/>
        <w:snapToGrid w:val="0"/>
        <w:spacing w:line="480" w:lineRule="exact"/>
        <w:ind w:firstLine="520"/>
        <w:rPr>
          <w:sz w:val="26"/>
          <w:szCs w:val="26"/>
        </w:rPr>
      </w:pPr>
      <w:r>
        <w:rPr>
          <w:rFonts w:hint="eastAsia"/>
          <w:sz w:val="26"/>
        </w:rPr>
        <w:t>规划</w:t>
      </w:r>
      <w:r>
        <w:rPr>
          <w:sz w:val="26"/>
        </w:rPr>
        <w:t>矿区内废气污染源主要为煤炭</w:t>
      </w:r>
      <w:r>
        <w:rPr>
          <w:rFonts w:hint="eastAsia"/>
          <w:sz w:val="26"/>
        </w:rPr>
        <w:t>开采</w:t>
      </w:r>
      <w:r>
        <w:rPr>
          <w:sz w:val="26"/>
        </w:rPr>
        <w:t>、</w:t>
      </w:r>
      <w:r>
        <w:rPr>
          <w:rFonts w:hint="eastAsia"/>
          <w:sz w:val="26"/>
        </w:rPr>
        <w:t>转运</w:t>
      </w:r>
      <w:r>
        <w:rPr>
          <w:sz w:val="26"/>
        </w:rPr>
        <w:t>、</w:t>
      </w:r>
      <w:r>
        <w:rPr>
          <w:rFonts w:hint="eastAsia"/>
          <w:sz w:val="26"/>
        </w:rPr>
        <w:t>装卸等</w:t>
      </w:r>
      <w:r>
        <w:rPr>
          <w:sz w:val="26"/>
        </w:rPr>
        <w:t>过程产生的无组织粉尘</w:t>
      </w:r>
      <w:r>
        <w:rPr>
          <w:rFonts w:hint="eastAsia"/>
          <w:sz w:val="26"/>
        </w:rPr>
        <w:t>以及瓦斯发电综合利用设施排气筒有组织排放。根据习水县环境</w:t>
      </w:r>
      <w:r>
        <w:rPr>
          <w:sz w:val="26"/>
        </w:rPr>
        <w:t>空气例行监测结果，</w:t>
      </w:r>
      <w:r>
        <w:rPr>
          <w:rFonts w:hint="eastAsia"/>
          <w:sz w:val="26"/>
        </w:rPr>
        <w:t>习水县历年</w:t>
      </w:r>
      <w:r>
        <w:rPr>
          <w:sz w:val="26"/>
        </w:rPr>
        <w:t>均为达标区，</w:t>
      </w:r>
      <w:r>
        <w:rPr>
          <w:rFonts w:hint="eastAsia"/>
          <w:sz w:val="26"/>
        </w:rPr>
        <w:t>并</w:t>
      </w:r>
      <w:r>
        <w:rPr>
          <w:sz w:val="26"/>
        </w:rPr>
        <w:t>逐年呈现</w:t>
      </w:r>
      <w:r>
        <w:rPr>
          <w:rFonts w:hint="eastAsia"/>
          <w:sz w:val="26"/>
        </w:rPr>
        <w:t>改善</w:t>
      </w:r>
      <w:r>
        <w:rPr>
          <w:sz w:val="26"/>
        </w:rPr>
        <w:t>趋势</w:t>
      </w:r>
      <w:r>
        <w:rPr>
          <w:rFonts w:hint="eastAsia"/>
          <w:sz w:val="26"/>
        </w:rPr>
        <w:t>；</w:t>
      </w:r>
      <w:r>
        <w:rPr>
          <w:sz w:val="26"/>
        </w:rPr>
        <w:t>同时</w:t>
      </w:r>
      <w:r>
        <w:rPr>
          <w:rFonts w:hint="eastAsia"/>
          <w:sz w:val="26"/>
        </w:rPr>
        <w:t>根据</w:t>
      </w:r>
      <w:r>
        <w:rPr>
          <w:sz w:val="26"/>
        </w:rPr>
        <w:t>矿区内</w:t>
      </w:r>
      <w:r>
        <w:rPr>
          <w:rFonts w:hint="eastAsia"/>
          <w:sz w:val="26"/>
        </w:rPr>
        <w:t>主要</w:t>
      </w:r>
      <w:r>
        <w:rPr>
          <w:sz w:val="26"/>
        </w:rPr>
        <w:t>煤矿</w:t>
      </w:r>
      <w:r>
        <w:rPr>
          <w:rFonts w:hint="eastAsia"/>
          <w:sz w:val="26"/>
        </w:rPr>
        <w:t>竣工环境保护验收资料和例行环境监测资料，</w:t>
      </w:r>
      <w:r>
        <w:rPr>
          <w:sz w:val="26"/>
        </w:rPr>
        <w:t>厂界废气监测结果，</w:t>
      </w:r>
      <w:r>
        <w:rPr>
          <w:rFonts w:hint="eastAsia"/>
          <w:sz w:val="26"/>
        </w:rPr>
        <w:t>均</w:t>
      </w:r>
      <w:r>
        <w:rPr>
          <w:sz w:val="26"/>
        </w:rPr>
        <w:t>满足</w:t>
      </w:r>
      <w:r>
        <w:rPr>
          <w:rFonts w:hint="eastAsia"/>
          <w:sz w:val="26"/>
        </w:rPr>
        <w:t>《</w:t>
      </w:r>
      <w:r>
        <w:rPr>
          <w:sz w:val="26"/>
        </w:rPr>
        <w:t>煤炭工业污染物排放标准</w:t>
      </w:r>
      <w:r>
        <w:rPr>
          <w:rFonts w:hint="eastAsia"/>
          <w:sz w:val="26"/>
        </w:rPr>
        <w:t>》（GB20426</w:t>
      </w:r>
      <w:r>
        <w:rPr>
          <w:sz w:val="26"/>
        </w:rPr>
        <w:t>-2006</w:t>
      </w:r>
      <w:r>
        <w:rPr>
          <w:rFonts w:hint="eastAsia"/>
          <w:sz w:val="26"/>
        </w:rPr>
        <w:t>）无组织</w:t>
      </w:r>
      <w:r>
        <w:rPr>
          <w:sz w:val="26"/>
        </w:rPr>
        <w:t>排放要求</w:t>
      </w:r>
      <w:r>
        <w:rPr>
          <w:rFonts w:hint="eastAsia"/>
          <w:sz w:val="26"/>
        </w:rPr>
        <w:t>；瓦斯发电外排废气中一氧化碳、氮氧化物、非甲烷总烃的排放浓度及排放速率均满足《车用压燃式、气体燃料点燃式发动机与汽车排气污染物排放限值及测量方法（中国Ⅲ、Ⅳ、Ⅴ阶段）》（GB17691-2005）中Ⅳ阶段标准限值要求；此外矿区</w:t>
      </w:r>
      <w:r>
        <w:rPr>
          <w:sz w:val="26"/>
        </w:rPr>
        <w:t>内补充环境</w:t>
      </w:r>
      <w:r>
        <w:rPr>
          <w:rFonts w:hint="eastAsia"/>
          <w:sz w:val="26"/>
        </w:rPr>
        <w:t>质量</w:t>
      </w:r>
      <w:r>
        <w:rPr>
          <w:sz w:val="26"/>
        </w:rPr>
        <w:t>监测结果表明区域内</w:t>
      </w:r>
      <w:r>
        <w:rPr>
          <w:rFonts w:hint="eastAsia"/>
          <w:sz w:val="26"/>
        </w:rPr>
        <w:t>煤炭</w:t>
      </w:r>
      <w:r>
        <w:rPr>
          <w:sz w:val="26"/>
        </w:rPr>
        <w:t>开采特征因子</w:t>
      </w:r>
      <w:r>
        <w:rPr>
          <w:rFonts w:hint="eastAsia"/>
          <w:sz w:val="26"/>
        </w:rPr>
        <w:t>TSP也</w:t>
      </w:r>
      <w:r>
        <w:rPr>
          <w:sz w:val="26"/>
        </w:rPr>
        <w:t>满足《环境空气质量标准》</w:t>
      </w:r>
      <w:r>
        <w:rPr>
          <w:szCs w:val="21"/>
        </w:rPr>
        <w:t>（GB3</w:t>
      </w:r>
      <w:r>
        <w:rPr>
          <w:sz w:val="26"/>
          <w:szCs w:val="26"/>
        </w:rPr>
        <w:t>095-2012）二类标准要求</w:t>
      </w:r>
      <w:r>
        <w:rPr>
          <w:rFonts w:hint="eastAsia"/>
          <w:sz w:val="26"/>
          <w:szCs w:val="26"/>
        </w:rPr>
        <w:t>。</w:t>
      </w:r>
    </w:p>
    <w:p w14:paraId="0BF9D8E6">
      <w:pPr>
        <w:adjustRightInd w:val="0"/>
        <w:snapToGrid w:val="0"/>
        <w:spacing w:line="480" w:lineRule="exact"/>
        <w:ind w:firstLine="520"/>
        <w:rPr>
          <w:sz w:val="26"/>
        </w:rPr>
      </w:pPr>
      <w:r>
        <w:rPr>
          <w:rFonts w:hint="eastAsia"/>
          <w:sz w:val="26"/>
        </w:rPr>
        <w:t>规划</w:t>
      </w:r>
      <w:r>
        <w:rPr>
          <w:sz w:val="26"/>
        </w:rPr>
        <w:t>矿区煤炭资源开发对区域环境空气影响较小。</w:t>
      </w:r>
    </w:p>
    <w:p w14:paraId="467E4397">
      <w:pPr>
        <w:autoSpaceDE w:val="0"/>
        <w:autoSpaceDN w:val="0"/>
        <w:adjustRightInd w:val="0"/>
        <w:snapToGrid w:val="0"/>
        <w:spacing w:line="480" w:lineRule="exact"/>
        <w:ind w:firstLine="522" w:firstLineChars="200"/>
        <w:outlineLvl w:val="2"/>
        <w:rPr>
          <w:b/>
          <w:sz w:val="26"/>
          <w:szCs w:val="26"/>
        </w:rPr>
      </w:pPr>
      <w:bookmarkStart w:id="30" w:name="_Toc179298794"/>
      <w:r>
        <w:rPr>
          <w:rFonts w:hint="eastAsia"/>
          <w:b/>
          <w:sz w:val="26"/>
          <w:szCs w:val="26"/>
        </w:rPr>
        <w:t>3.2.3</w:t>
      </w:r>
      <w:r>
        <w:rPr>
          <w:b/>
          <w:sz w:val="26"/>
          <w:szCs w:val="26"/>
        </w:rPr>
        <w:t>地表水环境影响回顾性评价</w:t>
      </w:r>
      <w:bookmarkEnd w:id="30"/>
    </w:p>
    <w:p w14:paraId="42C682C5">
      <w:pPr>
        <w:adjustRightInd w:val="0"/>
        <w:snapToGrid w:val="0"/>
        <w:spacing w:line="480" w:lineRule="exact"/>
        <w:ind w:firstLine="520"/>
        <w:rPr>
          <w:sz w:val="26"/>
        </w:rPr>
      </w:pPr>
      <w:r>
        <w:rPr>
          <w:rFonts w:hint="eastAsia"/>
          <w:sz w:val="26"/>
        </w:rPr>
        <w:t>根据地表水环境质量监测结果，本矿区周边主要河流近五年的水质均能满足目标水质III类水质要求，各年月达标率均为100%。并根据本次补充监测情况，矿区现有生产矿井受纳水体水质基本满足地表水I</w:t>
      </w:r>
      <w:r>
        <w:rPr>
          <w:sz w:val="26"/>
        </w:rPr>
        <w:t>II类标准要求</w:t>
      </w:r>
      <w:r>
        <w:rPr>
          <w:rFonts w:hint="eastAsia"/>
          <w:sz w:val="26"/>
        </w:rPr>
        <w:t>，矿区内煤矿开发对区域地表水环境影响较小。</w:t>
      </w:r>
    </w:p>
    <w:p w14:paraId="6E9C6B9E">
      <w:pPr>
        <w:adjustRightInd w:val="0"/>
        <w:snapToGrid w:val="0"/>
        <w:spacing w:line="480" w:lineRule="exact"/>
        <w:ind w:firstLine="520"/>
        <w:rPr>
          <w:sz w:val="26"/>
        </w:rPr>
      </w:pPr>
      <w:r>
        <w:rPr>
          <w:rFonts w:hint="eastAsia"/>
          <w:sz w:val="26"/>
        </w:rPr>
        <w:t>根据对典型企业自行监测结果，外排的矿井水水质均满足《</w:t>
      </w:r>
      <w:r>
        <w:rPr>
          <w:sz w:val="26"/>
        </w:rPr>
        <w:t>煤炭工业污染物排放标准</w:t>
      </w:r>
      <w:r>
        <w:rPr>
          <w:rFonts w:hint="eastAsia"/>
          <w:sz w:val="26"/>
        </w:rPr>
        <w:t>》（GB20426</w:t>
      </w:r>
      <w:r>
        <w:rPr>
          <w:sz w:val="26"/>
        </w:rPr>
        <w:t>-2006</w:t>
      </w:r>
      <w:r>
        <w:rPr>
          <w:rFonts w:hint="eastAsia"/>
          <w:sz w:val="26"/>
        </w:rPr>
        <w:t>）煤炭工业</w:t>
      </w:r>
      <w:r>
        <w:rPr>
          <w:sz w:val="26"/>
        </w:rPr>
        <w:t>废水和采煤废水排放</w:t>
      </w:r>
      <w:r>
        <w:rPr>
          <w:rFonts w:hint="eastAsia"/>
          <w:sz w:val="26"/>
        </w:rPr>
        <w:t>标准</w:t>
      </w:r>
      <w:r>
        <w:rPr>
          <w:sz w:val="26"/>
        </w:rPr>
        <w:t>要求</w:t>
      </w:r>
      <w:r>
        <w:rPr>
          <w:rFonts w:hint="eastAsia"/>
          <w:sz w:val="26"/>
        </w:rPr>
        <w:t>。根据本次环评对典型企业矿井水出水的水质补充监测结果，监测结果显示，矿井水出水口水质监测因子均满足《地表水环境质量标准》（GB 3838-2002）的I</w:t>
      </w:r>
      <w:r>
        <w:rPr>
          <w:sz w:val="26"/>
        </w:rPr>
        <w:t>II</w:t>
      </w:r>
      <w:r>
        <w:rPr>
          <w:rFonts w:hint="eastAsia"/>
          <w:sz w:val="26"/>
        </w:rPr>
        <w:t>类水质标准；并且矿井水中溶解性总固体浓度均小于1000mg/L，可</w:t>
      </w:r>
      <w:r>
        <w:rPr>
          <w:rFonts w:hint="eastAsia"/>
          <w:sz w:val="26"/>
          <w:szCs w:val="26"/>
        </w:rPr>
        <w:t>满足环环评〔2020〕63号文件对含盐量的要求</w:t>
      </w:r>
      <w:r>
        <w:rPr>
          <w:rFonts w:hint="eastAsia"/>
          <w:sz w:val="26"/>
        </w:rPr>
        <w:t>。</w:t>
      </w:r>
    </w:p>
    <w:p w14:paraId="26E0722A">
      <w:pPr>
        <w:autoSpaceDE w:val="0"/>
        <w:autoSpaceDN w:val="0"/>
        <w:adjustRightInd w:val="0"/>
        <w:snapToGrid w:val="0"/>
        <w:spacing w:line="480" w:lineRule="exact"/>
        <w:ind w:firstLine="522" w:firstLineChars="200"/>
        <w:outlineLvl w:val="2"/>
        <w:rPr>
          <w:b/>
          <w:sz w:val="26"/>
          <w:szCs w:val="26"/>
        </w:rPr>
      </w:pPr>
      <w:bookmarkStart w:id="31" w:name="_Toc179298795"/>
      <w:r>
        <w:rPr>
          <w:rFonts w:hint="eastAsia"/>
          <w:b/>
          <w:sz w:val="26"/>
          <w:szCs w:val="26"/>
        </w:rPr>
        <w:t>3.2.4</w:t>
      </w:r>
      <w:r>
        <w:rPr>
          <w:b/>
          <w:sz w:val="26"/>
          <w:szCs w:val="26"/>
        </w:rPr>
        <w:t>地下水环境影响回顾性评价</w:t>
      </w:r>
      <w:bookmarkEnd w:id="31"/>
    </w:p>
    <w:p w14:paraId="67C7264F">
      <w:pPr>
        <w:adjustRightInd w:val="0"/>
        <w:snapToGrid w:val="0"/>
        <w:spacing w:line="480" w:lineRule="exact"/>
        <w:ind w:firstLine="520"/>
        <w:rPr>
          <w:sz w:val="26"/>
        </w:rPr>
      </w:pPr>
      <w:r>
        <w:rPr>
          <w:rFonts w:hint="eastAsia"/>
          <w:sz w:val="26"/>
        </w:rPr>
        <w:t>根据对规划矿区现有生产矿井调查和补充监测结果，二郎矿区内现有煤矿开发至今区域地下水水质较总体好，未发生明显煤矿工业场地地下水污染现象。现有生产矿井均开展了水文地质补勘和逐年水文地质年度总结工作，生产运行矿井未发现矿井顶底板突水安全事故，未发现生产矿井采区连通上覆含水层和下伏茅口组暗河、岩溶漏斗等不良地质环境。现有生产煤矿由于开采煤层薄，导水裂缝带发育高度不大，其上覆的隔水层的分布对起到了较好的保护作用，同时由于区域大气降雨充沛，地下水补给快、径流短，地下水表现出就近补给就近排泄的特点，根据调查和走访，本规划区内各煤矿矿区开发至今，水位未受到开采明显影响。</w:t>
      </w:r>
    </w:p>
    <w:p w14:paraId="2D9FDE1A">
      <w:pPr>
        <w:autoSpaceDE w:val="0"/>
        <w:autoSpaceDN w:val="0"/>
        <w:adjustRightInd w:val="0"/>
        <w:snapToGrid w:val="0"/>
        <w:spacing w:line="480" w:lineRule="exact"/>
        <w:ind w:firstLine="522" w:firstLineChars="200"/>
        <w:outlineLvl w:val="2"/>
        <w:rPr>
          <w:b/>
          <w:sz w:val="26"/>
          <w:szCs w:val="26"/>
        </w:rPr>
      </w:pPr>
      <w:bookmarkStart w:id="32" w:name="_Toc179298796"/>
      <w:r>
        <w:rPr>
          <w:rFonts w:hint="eastAsia"/>
          <w:b/>
          <w:sz w:val="26"/>
          <w:szCs w:val="26"/>
        </w:rPr>
        <w:t>3.2.6</w:t>
      </w:r>
      <w:r>
        <w:rPr>
          <w:b/>
          <w:sz w:val="26"/>
          <w:szCs w:val="26"/>
        </w:rPr>
        <w:t>声环境影响回顾性评价</w:t>
      </w:r>
      <w:bookmarkEnd w:id="32"/>
    </w:p>
    <w:p w14:paraId="4CE8735C">
      <w:pPr>
        <w:adjustRightInd w:val="0"/>
        <w:snapToGrid w:val="0"/>
        <w:spacing w:line="480" w:lineRule="exact"/>
        <w:ind w:firstLine="520"/>
        <w:rPr>
          <w:sz w:val="26"/>
        </w:rPr>
      </w:pPr>
      <w:r>
        <w:rPr>
          <w:sz w:val="26"/>
        </w:rPr>
        <w:t>矿区内各煤矿采取了合理布局，风井安装消声器等措施，厂界噪声满足</w:t>
      </w:r>
      <w:r>
        <w:rPr>
          <w:rFonts w:hint="eastAsia"/>
          <w:sz w:val="26"/>
        </w:rPr>
        <w:t>《工业</w:t>
      </w:r>
      <w:r>
        <w:rPr>
          <w:sz w:val="26"/>
        </w:rPr>
        <w:t>企业厂界环境噪声排放标准</w:t>
      </w:r>
      <w:r>
        <w:rPr>
          <w:rFonts w:hint="eastAsia"/>
          <w:sz w:val="26"/>
        </w:rPr>
        <w:t>》（GB12348-2008）2类标准</w:t>
      </w:r>
      <w:r>
        <w:rPr>
          <w:sz w:val="26"/>
        </w:rPr>
        <w:t>要求，</w:t>
      </w:r>
      <w:r>
        <w:rPr>
          <w:rFonts w:hint="eastAsia"/>
          <w:sz w:val="26"/>
        </w:rPr>
        <w:t>厂界外居民点噪声满足《声环境质量标准》（GB3096-2008）2类标准要求，对区域声环境影响较小。</w:t>
      </w:r>
    </w:p>
    <w:p w14:paraId="75223917">
      <w:pPr>
        <w:autoSpaceDE w:val="0"/>
        <w:autoSpaceDN w:val="0"/>
        <w:adjustRightInd w:val="0"/>
        <w:snapToGrid w:val="0"/>
        <w:spacing w:line="480" w:lineRule="exact"/>
        <w:ind w:firstLine="522" w:firstLineChars="200"/>
        <w:outlineLvl w:val="2"/>
        <w:rPr>
          <w:b/>
          <w:sz w:val="26"/>
          <w:szCs w:val="26"/>
        </w:rPr>
      </w:pPr>
      <w:bookmarkStart w:id="33" w:name="_Toc179298797"/>
      <w:r>
        <w:rPr>
          <w:rFonts w:hint="eastAsia"/>
          <w:b/>
          <w:sz w:val="26"/>
          <w:szCs w:val="26"/>
        </w:rPr>
        <w:t>3.2.7固体废物环境影响回顾性评价</w:t>
      </w:r>
      <w:bookmarkEnd w:id="33"/>
    </w:p>
    <w:p w14:paraId="026F1F07">
      <w:pPr>
        <w:adjustRightInd w:val="0"/>
        <w:snapToGrid w:val="0"/>
        <w:spacing w:line="480" w:lineRule="exact"/>
        <w:ind w:firstLine="520"/>
        <w:rPr>
          <w:sz w:val="26"/>
        </w:rPr>
      </w:pPr>
      <w:r>
        <w:rPr>
          <w:rFonts w:hint="eastAsia"/>
          <w:sz w:val="26"/>
        </w:rPr>
        <w:t>矿区开采多年，开采过程产生的矸石属于I类工业固体废物，各矿井均进行了外销砖厂、水泥厂等建材资源化利用，现场仅临时贮存，矸石处置符合现有矿井环评文件批复要求；</w:t>
      </w:r>
      <w:r>
        <w:rPr>
          <w:sz w:val="26"/>
        </w:rPr>
        <w:t>矿区不涉及燃煤锅炉灰渣、脱硫石膏等固体废物产生，废油、废铅酸电池等</w:t>
      </w:r>
      <w:r>
        <w:rPr>
          <w:rFonts w:hint="eastAsia"/>
          <w:sz w:val="26"/>
        </w:rPr>
        <w:t>危险废物暂存规范，交资质单位处置。规划区现有生产矿井固废处置措施总体合理可行，对矿区生态环境影响总体较小。</w:t>
      </w:r>
    </w:p>
    <w:p w14:paraId="29CA2C5C">
      <w:pPr>
        <w:autoSpaceDE w:val="0"/>
        <w:autoSpaceDN w:val="0"/>
        <w:adjustRightInd w:val="0"/>
        <w:snapToGrid w:val="0"/>
        <w:spacing w:line="480" w:lineRule="exact"/>
        <w:ind w:firstLine="522" w:firstLineChars="200"/>
        <w:outlineLvl w:val="2"/>
        <w:rPr>
          <w:b/>
          <w:sz w:val="26"/>
          <w:szCs w:val="26"/>
        </w:rPr>
      </w:pPr>
      <w:bookmarkStart w:id="34" w:name="_Toc179298798"/>
      <w:r>
        <w:rPr>
          <w:rFonts w:hint="eastAsia"/>
          <w:b/>
          <w:sz w:val="26"/>
          <w:szCs w:val="26"/>
        </w:rPr>
        <w:t>3.2.8</w:t>
      </w:r>
      <w:r>
        <w:rPr>
          <w:b/>
          <w:sz w:val="26"/>
          <w:szCs w:val="26"/>
        </w:rPr>
        <w:t>土壤环境影响回顾性评价</w:t>
      </w:r>
      <w:bookmarkEnd w:id="34"/>
    </w:p>
    <w:p w14:paraId="5630DEF0">
      <w:pPr>
        <w:adjustRightInd w:val="0"/>
        <w:snapToGrid w:val="0"/>
        <w:spacing w:line="480" w:lineRule="exact"/>
        <w:ind w:firstLine="520"/>
        <w:rPr>
          <w:sz w:val="26"/>
        </w:rPr>
      </w:pPr>
      <w:r>
        <w:rPr>
          <w:rFonts w:hint="eastAsia"/>
          <w:sz w:val="26"/>
        </w:rPr>
        <w:t>矿区煤炭资源开发对土壤影响因素主要表现为矸石淋溶液、矿井水防尘、绿化等回用、工业场地污废水外溢等土壤的影响。根据矸石浸出液、</w:t>
      </w:r>
      <w:r>
        <w:rPr>
          <w:sz w:val="26"/>
        </w:rPr>
        <w:t>矿井水监测结果</w:t>
      </w:r>
      <w:r>
        <w:rPr>
          <w:rFonts w:hint="eastAsia"/>
          <w:sz w:val="26"/>
        </w:rPr>
        <w:t>，矿井水回用对周边土壤影响较小；各矿井工业场地采取了雨污分流，场地四周边沟防止场地雨水外溢，未发现</w:t>
      </w:r>
      <w:r>
        <w:rPr>
          <w:sz w:val="26"/>
        </w:rPr>
        <w:t>场地外土壤污染。</w:t>
      </w:r>
      <w:r>
        <w:rPr>
          <w:rFonts w:hint="eastAsia"/>
          <w:sz w:val="26"/>
        </w:rPr>
        <w:t>现阶段</w:t>
      </w:r>
      <w:r>
        <w:rPr>
          <w:sz w:val="26"/>
        </w:rPr>
        <w:t>各矿井水不属于酸性矿井水，不属于高矿矿化度矿井水，各矿井矿井水回用于绿化、消防、防尘等</w:t>
      </w:r>
      <w:r>
        <w:rPr>
          <w:rFonts w:hint="eastAsia"/>
          <w:sz w:val="26"/>
        </w:rPr>
        <w:t>，未见</w:t>
      </w:r>
      <w:r>
        <w:rPr>
          <w:sz w:val="26"/>
        </w:rPr>
        <w:t>土壤盐化、酸碱化</w:t>
      </w:r>
      <w:r>
        <w:rPr>
          <w:rFonts w:hint="eastAsia"/>
          <w:sz w:val="26"/>
        </w:rPr>
        <w:t>发展趋势</w:t>
      </w:r>
      <w:r>
        <w:rPr>
          <w:sz w:val="26"/>
        </w:rPr>
        <w:t>。</w:t>
      </w:r>
      <w:r>
        <w:rPr>
          <w:rFonts w:hint="eastAsia"/>
          <w:sz w:val="26"/>
        </w:rPr>
        <w:t>矿区</w:t>
      </w:r>
      <w:r>
        <w:rPr>
          <w:sz w:val="26"/>
        </w:rPr>
        <w:t>内土壤类型、各矿井场地等场地进行了含盐量监测</w:t>
      </w:r>
      <w:r>
        <w:rPr>
          <w:rFonts w:hint="eastAsia"/>
          <w:sz w:val="26"/>
        </w:rPr>
        <w:t>结果表明</w:t>
      </w:r>
      <w:r>
        <w:rPr>
          <w:sz w:val="26"/>
        </w:rPr>
        <w:t>矿区内土壤，</w:t>
      </w:r>
      <w:r>
        <w:rPr>
          <w:rFonts w:hint="eastAsia"/>
          <w:sz w:val="26"/>
        </w:rPr>
        <w:t>无</w:t>
      </w:r>
      <w:r>
        <w:rPr>
          <w:sz w:val="26"/>
        </w:rPr>
        <w:t>酸化或碱化出现，土壤盐化分级为未盐化，因此矿区内矿井开采多年以来，对当地土壤酸碱化、盐化影响小。</w:t>
      </w:r>
    </w:p>
    <w:p w14:paraId="79870534">
      <w:pPr>
        <w:adjustRightInd w:val="0"/>
        <w:snapToGrid w:val="0"/>
        <w:spacing w:line="480" w:lineRule="exact"/>
        <w:ind w:firstLine="520"/>
        <w:rPr>
          <w:sz w:val="26"/>
        </w:rPr>
      </w:pPr>
      <w:r>
        <w:rPr>
          <w:rFonts w:hint="eastAsia"/>
          <w:sz w:val="26"/>
        </w:rPr>
        <w:t>根据各矿井工业场地、矸石临时暂存场周边土壤重金属含量监测分析，土壤中重金属含量小，说明矿区内矿井开采对土壤环境影响较小。</w:t>
      </w:r>
    </w:p>
    <w:p w14:paraId="21251FB2">
      <w:pPr>
        <w:adjustRightInd w:val="0"/>
        <w:snapToGrid w:val="0"/>
        <w:spacing w:line="480" w:lineRule="exact"/>
        <w:ind w:firstLine="520"/>
        <w:rPr>
          <w:sz w:val="26"/>
        </w:rPr>
      </w:pPr>
    </w:p>
    <w:p w14:paraId="191CFE88">
      <w:pPr>
        <w:adjustRightInd w:val="0"/>
        <w:snapToGrid w:val="0"/>
        <w:spacing w:line="480" w:lineRule="exact"/>
        <w:ind w:firstLine="520"/>
        <w:rPr>
          <w:sz w:val="26"/>
        </w:rPr>
      </w:pPr>
    </w:p>
    <w:p w14:paraId="5E7897E8">
      <w:pPr>
        <w:widowControl/>
        <w:jc w:val="left"/>
        <w:rPr>
          <w:b/>
          <w:sz w:val="26"/>
          <w:szCs w:val="26"/>
        </w:rPr>
      </w:pPr>
      <w:bookmarkStart w:id="35" w:name="_Toc89101482"/>
      <w:bookmarkStart w:id="36" w:name="_Toc165999706"/>
      <w:r>
        <w:rPr>
          <w:b/>
          <w:sz w:val="26"/>
          <w:szCs w:val="26"/>
        </w:rPr>
        <w:br w:type="page"/>
      </w:r>
    </w:p>
    <w:p w14:paraId="09EBD127">
      <w:pPr>
        <w:spacing w:before="156" w:beforeLines="50" w:after="156" w:afterLines="50"/>
        <w:ind w:firstLine="602"/>
        <w:jc w:val="center"/>
        <w:outlineLvl w:val="0"/>
        <w:rPr>
          <w:b/>
          <w:sz w:val="30"/>
          <w:szCs w:val="30"/>
        </w:rPr>
      </w:pPr>
      <w:bookmarkStart w:id="37" w:name="_Toc179298799"/>
      <w:r>
        <w:rPr>
          <w:rFonts w:hint="eastAsia"/>
          <w:b/>
          <w:sz w:val="30"/>
          <w:szCs w:val="30"/>
        </w:rPr>
        <w:t>4 矿区规划修编方案</w:t>
      </w:r>
      <w:r>
        <w:rPr>
          <w:b/>
          <w:sz w:val="30"/>
          <w:szCs w:val="30"/>
        </w:rPr>
        <w:t>实施环境影响及减缓措施</w:t>
      </w:r>
      <w:bookmarkEnd w:id="35"/>
      <w:bookmarkEnd w:id="36"/>
      <w:bookmarkEnd w:id="37"/>
    </w:p>
    <w:p w14:paraId="4EEAAD1A">
      <w:pPr>
        <w:autoSpaceDE w:val="0"/>
        <w:autoSpaceDN w:val="0"/>
        <w:adjustRightInd w:val="0"/>
        <w:snapToGrid w:val="0"/>
        <w:spacing w:line="480" w:lineRule="exact"/>
        <w:ind w:firstLine="522" w:firstLineChars="200"/>
        <w:outlineLvl w:val="1"/>
        <w:rPr>
          <w:b/>
          <w:sz w:val="26"/>
          <w:szCs w:val="26"/>
        </w:rPr>
      </w:pPr>
      <w:bookmarkStart w:id="38" w:name="_Toc179298800"/>
      <w:bookmarkStart w:id="39" w:name="_Toc89101483"/>
      <w:r>
        <w:rPr>
          <w:rFonts w:hint="eastAsia"/>
          <w:b/>
          <w:sz w:val="26"/>
          <w:szCs w:val="26"/>
        </w:rPr>
        <w:t>4.</w:t>
      </w:r>
      <w:r>
        <w:rPr>
          <w:b/>
          <w:sz w:val="26"/>
          <w:szCs w:val="26"/>
        </w:rPr>
        <w:t>1矿区内地表沉陷影响分析</w:t>
      </w:r>
      <w:bookmarkEnd w:id="38"/>
      <w:bookmarkEnd w:id="39"/>
    </w:p>
    <w:p w14:paraId="04C27625">
      <w:pPr>
        <w:adjustRightInd w:val="0"/>
        <w:snapToGrid w:val="0"/>
        <w:spacing w:line="480" w:lineRule="exact"/>
        <w:ind w:firstLine="520"/>
        <w:rPr>
          <w:sz w:val="26"/>
        </w:rPr>
      </w:pPr>
      <w:r>
        <w:rPr>
          <w:rFonts w:hint="eastAsia"/>
          <w:sz w:val="26"/>
        </w:rPr>
        <w:t>根据预测结果及本次沉陷现状调查结果来看，规划区属典型的西南山地地貌，地形起伏较大，冲沟较多，矿区内后续开采煤层均为薄-中厚煤层，且开采煤层埋深较深，通过采取预留保护煤柱、沉陷区生态修复、受影响居民房屋修缮或搬迁等有效保护措施后，采矿造成的地表沉陷影响程度较低，可以得到有效的控制，采煤沉陷对地面建筑物、居民点、公路、地表水体的环境的影响在可接受范围内。</w:t>
      </w:r>
    </w:p>
    <w:p w14:paraId="58F974D4">
      <w:pPr>
        <w:autoSpaceDE w:val="0"/>
        <w:autoSpaceDN w:val="0"/>
        <w:adjustRightInd w:val="0"/>
        <w:snapToGrid w:val="0"/>
        <w:spacing w:line="480" w:lineRule="exact"/>
        <w:ind w:firstLine="522" w:firstLineChars="200"/>
        <w:outlineLvl w:val="1"/>
        <w:rPr>
          <w:b/>
          <w:sz w:val="26"/>
          <w:szCs w:val="26"/>
        </w:rPr>
      </w:pPr>
      <w:bookmarkStart w:id="40" w:name="_Toc179298801"/>
      <w:bookmarkStart w:id="41" w:name="_Toc89101484"/>
      <w:r>
        <w:rPr>
          <w:rFonts w:hint="eastAsia"/>
          <w:b/>
          <w:sz w:val="26"/>
          <w:szCs w:val="26"/>
        </w:rPr>
        <w:t>4</w:t>
      </w:r>
      <w:r>
        <w:rPr>
          <w:b/>
          <w:sz w:val="26"/>
          <w:szCs w:val="26"/>
        </w:rPr>
        <w:t>.2生态环境影响分析</w:t>
      </w:r>
      <w:bookmarkEnd w:id="40"/>
      <w:bookmarkEnd w:id="41"/>
    </w:p>
    <w:p w14:paraId="61D4F0B6">
      <w:pPr>
        <w:adjustRightInd w:val="0"/>
        <w:snapToGrid w:val="0"/>
        <w:spacing w:line="480" w:lineRule="exact"/>
        <w:ind w:firstLine="520"/>
        <w:rPr>
          <w:sz w:val="26"/>
        </w:rPr>
      </w:pPr>
      <w:r>
        <w:rPr>
          <w:sz w:val="26"/>
        </w:rPr>
        <w:t>（</w:t>
      </w:r>
      <w:r>
        <w:rPr>
          <w:rFonts w:hint="eastAsia"/>
          <w:sz w:val="26"/>
        </w:rPr>
        <w:t>1</w:t>
      </w:r>
      <w:r>
        <w:rPr>
          <w:sz w:val="26"/>
        </w:rPr>
        <w:t>）</w:t>
      </w:r>
      <w:r>
        <w:rPr>
          <w:rFonts w:hint="eastAsia"/>
          <w:sz w:val="26"/>
        </w:rPr>
        <w:t>地形</w:t>
      </w:r>
      <w:r>
        <w:rPr>
          <w:sz w:val="26"/>
        </w:rPr>
        <w:t>地貌影响分析</w:t>
      </w:r>
    </w:p>
    <w:p w14:paraId="26DCE021">
      <w:pPr>
        <w:adjustRightInd w:val="0"/>
        <w:snapToGrid w:val="0"/>
        <w:spacing w:line="480" w:lineRule="exact"/>
        <w:ind w:firstLine="520"/>
        <w:rPr>
          <w:sz w:val="26"/>
        </w:rPr>
      </w:pPr>
      <w:r>
        <w:rPr>
          <w:rFonts w:hint="eastAsia"/>
          <w:sz w:val="26"/>
        </w:rPr>
        <w:t>规划所在区域属山区地貌，总体呈东高西低，地形起伏变化较大，</w:t>
      </w:r>
      <w:r>
        <w:rPr>
          <w:rFonts w:hint="eastAsia"/>
          <w:sz w:val="26"/>
          <w:szCs w:val="26"/>
        </w:rPr>
        <w:t>矿区</w:t>
      </w:r>
      <w:r>
        <w:rPr>
          <w:sz w:val="26"/>
          <w:szCs w:val="26"/>
        </w:rPr>
        <w:t>预测地表最大下沉值</w:t>
      </w:r>
      <w:r>
        <w:rPr>
          <w:rFonts w:hint="eastAsia"/>
          <w:sz w:val="26"/>
          <w:szCs w:val="26"/>
        </w:rPr>
        <w:t>约</w:t>
      </w:r>
      <w:r>
        <w:rPr>
          <w:sz w:val="26"/>
          <w:szCs w:val="26"/>
        </w:rPr>
        <w:t>为</w:t>
      </w:r>
      <w:r>
        <w:rPr>
          <w:rFonts w:hint="eastAsia"/>
          <w:sz w:val="26"/>
          <w:szCs w:val="26"/>
        </w:rPr>
        <w:t>8</w:t>
      </w:r>
      <w:r>
        <w:rPr>
          <w:sz w:val="26"/>
          <w:szCs w:val="26"/>
        </w:rPr>
        <w:t>m，</w:t>
      </w:r>
      <w:r>
        <w:rPr>
          <w:rFonts w:hint="eastAsia"/>
          <w:sz w:val="26"/>
        </w:rPr>
        <w:t>通过对开采前后等高线叠加对比，</w:t>
      </w:r>
      <w:r>
        <w:rPr>
          <w:rFonts w:hint="eastAsia"/>
          <w:sz w:val="26"/>
          <w:szCs w:val="26"/>
        </w:rPr>
        <w:t>沉陷值与地形相对高差占比较小，</w:t>
      </w:r>
      <w:r>
        <w:rPr>
          <w:rFonts w:hint="eastAsia"/>
          <w:sz w:val="26"/>
        </w:rPr>
        <w:t>开采后地表沉陷对地形、地貌不会产生明显的改变。</w:t>
      </w:r>
    </w:p>
    <w:p w14:paraId="0CFA3D3F">
      <w:pPr>
        <w:adjustRightInd w:val="0"/>
        <w:snapToGrid w:val="0"/>
        <w:spacing w:line="480" w:lineRule="exact"/>
        <w:ind w:firstLine="520"/>
        <w:rPr>
          <w:sz w:val="26"/>
        </w:rPr>
      </w:pPr>
      <w:r>
        <w:rPr>
          <w:sz w:val="26"/>
        </w:rPr>
        <w:t>（</w:t>
      </w:r>
      <w:r>
        <w:rPr>
          <w:rFonts w:hint="eastAsia"/>
          <w:sz w:val="26"/>
        </w:rPr>
        <w:t>2</w:t>
      </w:r>
      <w:r>
        <w:rPr>
          <w:sz w:val="26"/>
        </w:rPr>
        <w:t>）土地利用影响分析</w:t>
      </w:r>
    </w:p>
    <w:p w14:paraId="31DE70DC">
      <w:pPr>
        <w:adjustRightInd w:val="0"/>
        <w:snapToGrid w:val="0"/>
        <w:spacing w:line="480" w:lineRule="exact"/>
        <w:ind w:firstLine="520"/>
        <w:rPr>
          <w:sz w:val="26"/>
        </w:rPr>
      </w:pPr>
      <w:r>
        <w:rPr>
          <w:rFonts w:hint="eastAsia"/>
          <w:sz w:val="26"/>
        </w:rPr>
        <w:t>规划后续实施过程中新增占地面积较小，且以占用耕地为主，对区域土地利用格局造成的影响小；根据规划实施后地表沉陷预测结果及本次对矿区内已有煤矿采空区的调查分析，矿区在开发过程中造成地表沉陷不会造成大规模沉陷、积水、崩塌、滑坡现象的发生，采煤沉陷区以轻度和中度影响为主，局部区域存在采煤裂缝、诱发和加剧地质灾害的可能，矿区规划矿井今后采煤过程中将实施“边破坏、边治理、边利用”的生态综合恢复措施，对地表裂缝充填、采煤塌陷区进行治理、土地复垦等，在采取上述措施后，规划实施对评价范围内土地利用格局的影响较小。</w:t>
      </w:r>
    </w:p>
    <w:p w14:paraId="36F1ACA0">
      <w:pPr>
        <w:adjustRightInd w:val="0"/>
        <w:snapToGrid w:val="0"/>
        <w:spacing w:line="480" w:lineRule="exact"/>
        <w:ind w:firstLine="520"/>
        <w:rPr>
          <w:sz w:val="26"/>
        </w:rPr>
      </w:pPr>
      <w:r>
        <w:rPr>
          <w:sz w:val="26"/>
        </w:rPr>
        <w:t>（</w:t>
      </w:r>
      <w:r>
        <w:rPr>
          <w:rFonts w:hint="eastAsia"/>
          <w:sz w:val="26"/>
        </w:rPr>
        <w:t>3</w:t>
      </w:r>
      <w:r>
        <w:rPr>
          <w:sz w:val="26"/>
        </w:rPr>
        <w:t>）农业生产的影响分析</w:t>
      </w:r>
    </w:p>
    <w:p w14:paraId="7E849FC2">
      <w:pPr>
        <w:adjustRightInd w:val="0"/>
        <w:snapToGrid w:val="0"/>
        <w:spacing w:line="480" w:lineRule="exact"/>
        <w:ind w:firstLine="520"/>
        <w:rPr>
          <w:sz w:val="26"/>
        </w:rPr>
      </w:pPr>
      <w:r>
        <w:rPr>
          <w:rFonts w:hint="eastAsia"/>
          <w:sz w:val="26"/>
        </w:rPr>
        <w:t>矿区后续开发新增占地主要为工业场地扩建区域占地，不涉及永久基本农田的占用。规划区农田范围内耕地广泛分布，地表加工场地对区域农业生产不会造成较大影响。根据采煤沉陷区预测，</w:t>
      </w:r>
      <w:r>
        <w:rPr>
          <w:sz w:val="26"/>
        </w:rPr>
        <w:t>规划区内沉陷影响</w:t>
      </w:r>
      <w:r>
        <w:rPr>
          <w:rFonts w:hint="eastAsia"/>
          <w:sz w:val="26"/>
        </w:rPr>
        <w:t>以轻度影响为主</w:t>
      </w:r>
      <w:r>
        <w:rPr>
          <w:sz w:val="26"/>
        </w:rPr>
        <w:t>，</w:t>
      </w:r>
      <w:r>
        <w:rPr>
          <w:sz w:val="26"/>
          <w:szCs w:val="26"/>
        </w:rPr>
        <w:t>对于受轻度破坏的耕地，由于地表仅有轻微变形，</w:t>
      </w:r>
      <w:r>
        <w:rPr>
          <w:rFonts w:hint="eastAsia"/>
          <w:sz w:val="26"/>
          <w:szCs w:val="26"/>
        </w:rPr>
        <w:t>主要采取自然恢复措施，</w:t>
      </w:r>
      <w:r>
        <w:rPr>
          <w:sz w:val="26"/>
          <w:szCs w:val="26"/>
        </w:rPr>
        <w:t>不影响农田耕种、植被生长，农作物产量基本不受影响。对于受中度破坏的耕地，应当对沉陷破坏的耕地进行</w:t>
      </w:r>
      <w:r>
        <w:rPr>
          <w:rFonts w:hint="eastAsia"/>
          <w:sz w:val="26"/>
          <w:szCs w:val="26"/>
        </w:rPr>
        <w:t>人工干预的土地</w:t>
      </w:r>
      <w:r>
        <w:rPr>
          <w:sz w:val="26"/>
          <w:szCs w:val="26"/>
        </w:rPr>
        <w:t>复垦整治，恢复耕种功能</w:t>
      </w:r>
      <w:r>
        <w:rPr>
          <w:rFonts w:hint="eastAsia"/>
          <w:sz w:val="26"/>
          <w:szCs w:val="26"/>
        </w:rPr>
        <w:t>；对重度区，结合地方地质灾害防治规划，落实减灾防灾措施，对防治后区域实施生态整治，保持区域生态功能。</w:t>
      </w:r>
    </w:p>
    <w:p w14:paraId="5FE393F6">
      <w:pPr>
        <w:adjustRightInd w:val="0"/>
        <w:snapToGrid w:val="0"/>
        <w:spacing w:line="480" w:lineRule="exact"/>
        <w:ind w:firstLine="520"/>
        <w:rPr>
          <w:sz w:val="26"/>
        </w:rPr>
      </w:pPr>
      <w:r>
        <w:rPr>
          <w:sz w:val="26"/>
        </w:rPr>
        <w:t>（</w:t>
      </w:r>
      <w:r>
        <w:rPr>
          <w:rFonts w:hint="eastAsia"/>
          <w:sz w:val="26"/>
        </w:rPr>
        <w:t>4</w:t>
      </w:r>
      <w:r>
        <w:rPr>
          <w:sz w:val="26"/>
        </w:rPr>
        <w:t>）土壤侵蚀影响分析</w:t>
      </w:r>
    </w:p>
    <w:p w14:paraId="4DF03CBB">
      <w:pPr>
        <w:adjustRightInd w:val="0"/>
        <w:snapToGrid w:val="0"/>
        <w:spacing w:line="480" w:lineRule="exact"/>
        <w:ind w:firstLine="520"/>
        <w:rPr>
          <w:sz w:val="26"/>
        </w:rPr>
      </w:pPr>
      <w:r>
        <w:rPr>
          <w:rFonts w:hint="eastAsia"/>
          <w:sz w:val="26"/>
        </w:rPr>
        <w:t>规划所在区域地貌为山区地貌，地形高差较大，沉陷盆地对地表影响微弱，主要表现在沉陷边缘地带与地形坡度叠加造成的影响。根据不同情形下的沉陷预测结果，规划实施后地面倾斜值较小，对土壤侵蚀的影响主要为轻度侵蚀，因此规划实施对土壤侵蚀的影响不大，结合本次对规划区内已有采空区水土流失情况现场调查，规划区内煤矿开采活动未造成新的山体滑坡等次生灾害，地表沉陷前后土壤侵蚀强度变化不大。</w:t>
      </w:r>
    </w:p>
    <w:p w14:paraId="3853E929">
      <w:pPr>
        <w:adjustRightInd w:val="0"/>
        <w:snapToGrid w:val="0"/>
        <w:spacing w:line="480" w:lineRule="exact"/>
        <w:ind w:firstLine="520"/>
        <w:rPr>
          <w:sz w:val="26"/>
        </w:rPr>
      </w:pPr>
      <w:r>
        <w:rPr>
          <w:sz w:val="26"/>
        </w:rPr>
        <w:t>（</w:t>
      </w:r>
      <w:r>
        <w:rPr>
          <w:rFonts w:hint="eastAsia"/>
          <w:sz w:val="26"/>
        </w:rPr>
        <w:t>5</w:t>
      </w:r>
      <w:r>
        <w:rPr>
          <w:sz w:val="26"/>
        </w:rPr>
        <w:t>）对植被的影响分析</w:t>
      </w:r>
    </w:p>
    <w:p w14:paraId="2717C684">
      <w:pPr>
        <w:adjustRightInd w:val="0"/>
        <w:snapToGrid w:val="0"/>
        <w:spacing w:line="480" w:lineRule="exact"/>
        <w:ind w:firstLine="520"/>
        <w:rPr>
          <w:sz w:val="26"/>
        </w:rPr>
      </w:pPr>
      <w:r>
        <w:rPr>
          <w:rFonts w:hint="eastAsia"/>
          <w:sz w:val="26"/>
        </w:rPr>
        <w:t>矿区后续开发过程中，新增占地面积小，且占用土地利用类型主要为耕地及灌木林地为主，不占用林地等植被茂密的区域，地面工程占地对植被类型及植被生物量影响较小。</w:t>
      </w:r>
      <w:r>
        <w:rPr>
          <w:rFonts w:hint="eastAsia"/>
          <w:sz w:val="26"/>
          <w:szCs w:val="26"/>
        </w:rPr>
        <w:t>根据</w:t>
      </w:r>
      <w:r>
        <w:rPr>
          <w:sz w:val="26"/>
          <w:szCs w:val="26"/>
        </w:rPr>
        <w:t>现场调查及沉陷预测结果，</w:t>
      </w:r>
      <w:r>
        <w:rPr>
          <w:rFonts w:hint="eastAsia"/>
          <w:sz w:val="26"/>
          <w:szCs w:val="26"/>
        </w:rPr>
        <w:t>沉陷范围内的林地主要分布在</w:t>
      </w:r>
      <w:r>
        <w:rPr>
          <w:sz w:val="26"/>
          <w:szCs w:val="26"/>
        </w:rPr>
        <w:t>海拔较高的</w:t>
      </w:r>
      <w:r>
        <w:rPr>
          <w:rFonts w:hint="eastAsia"/>
          <w:sz w:val="26"/>
          <w:szCs w:val="26"/>
        </w:rPr>
        <w:t>山坡，生长用水依赖大气降雨，地表沉陷以及导水裂缝带发育引起的地下水变化对林地生长基本无影响。</w:t>
      </w:r>
      <w:r>
        <w:rPr>
          <w:rFonts w:hint="eastAsia"/>
          <w:sz w:val="26"/>
        </w:rPr>
        <w:t>规划实施后对区域生物量造成的损失占评价范围内总生物量的比例很小，</w:t>
      </w:r>
      <w:r>
        <w:rPr>
          <w:rFonts w:hint="eastAsia"/>
          <w:sz w:val="26"/>
          <w:szCs w:val="26"/>
          <w:lang w:bidi="ar"/>
        </w:rPr>
        <w:t>随着后续规划煤矿实施过程中的沉陷治理、林地抚育等生态恢复措施的开展，规划实施对区域植被生物量及生产力影响可得到进一步减轻</w:t>
      </w:r>
      <w:r>
        <w:rPr>
          <w:rFonts w:hint="eastAsia"/>
          <w:sz w:val="26"/>
        </w:rPr>
        <w:t>。</w:t>
      </w:r>
    </w:p>
    <w:p w14:paraId="1B32F19B">
      <w:pPr>
        <w:adjustRightInd w:val="0"/>
        <w:snapToGrid w:val="0"/>
        <w:spacing w:line="480" w:lineRule="exact"/>
        <w:ind w:firstLine="520"/>
        <w:rPr>
          <w:sz w:val="26"/>
        </w:rPr>
      </w:pPr>
      <w:r>
        <w:rPr>
          <w:sz w:val="26"/>
        </w:rPr>
        <w:t>（6）对野生动物的影响分析</w:t>
      </w:r>
    </w:p>
    <w:p w14:paraId="37F240EA">
      <w:pPr>
        <w:adjustRightInd w:val="0"/>
        <w:snapToGrid w:val="0"/>
        <w:spacing w:line="480" w:lineRule="exact"/>
        <w:ind w:firstLine="520"/>
        <w:rPr>
          <w:sz w:val="26"/>
        </w:rPr>
      </w:pPr>
      <w:r>
        <w:rPr>
          <w:rFonts w:hint="eastAsia"/>
          <w:sz w:val="26"/>
        </w:rPr>
        <w:t>规划范围内地面生产设施占地范围内及周边区域以农田植被为主，人为活动频繁，野生动物分布较少，主要为鸟类及鼠类等与人类生活相关的动物为主，占地范围内未发现重要野生保护动物及其栖息地分布；规划区内煤矿开采产生的沉陷程度较低，未对区域地形地貌及植被类型造成较大影响，后续采煤活动导致的地表沉陷不会对野生动物生境造成损害，因此，煤层开采过程中产生的地表沉陷对该区域野生动物的影响较小。</w:t>
      </w:r>
    </w:p>
    <w:p w14:paraId="53842B4F">
      <w:pPr>
        <w:adjustRightInd w:val="0"/>
        <w:snapToGrid w:val="0"/>
        <w:spacing w:line="480" w:lineRule="exact"/>
        <w:ind w:firstLine="520"/>
        <w:rPr>
          <w:sz w:val="26"/>
        </w:rPr>
      </w:pPr>
      <w:r>
        <w:rPr>
          <w:rFonts w:hint="eastAsia"/>
          <w:sz w:val="26"/>
        </w:rPr>
        <w:t>（7）对景观生态的影响分析</w:t>
      </w:r>
    </w:p>
    <w:p w14:paraId="4E47E8F9">
      <w:pPr>
        <w:adjustRightInd w:val="0"/>
        <w:snapToGrid w:val="0"/>
        <w:spacing w:line="480" w:lineRule="exact"/>
        <w:ind w:firstLine="520"/>
        <w:rPr>
          <w:sz w:val="26"/>
        </w:rPr>
      </w:pPr>
      <w:r>
        <w:rPr>
          <w:rFonts w:hint="eastAsia"/>
          <w:sz w:val="26"/>
        </w:rPr>
        <w:t>随着规划煤矿项目的实施，矿区及评价范围内的景观斑块数和斑块密度将会增加，但矿区占地建设区域总体相对评价区面积很小，评价范围内以林地景观、耕地景观为主导的景观结构类型不会发生大的变化。</w:t>
      </w:r>
    </w:p>
    <w:p w14:paraId="3A1F46F5">
      <w:pPr>
        <w:adjustRightInd w:val="0"/>
        <w:snapToGrid w:val="0"/>
        <w:spacing w:line="480" w:lineRule="exact"/>
        <w:ind w:firstLine="520"/>
        <w:rPr>
          <w:sz w:val="26"/>
        </w:rPr>
      </w:pPr>
      <w:r>
        <w:rPr>
          <w:rFonts w:hint="eastAsia"/>
          <w:sz w:val="26"/>
        </w:rPr>
        <w:t>（8）对生态系统稳定的影响分析</w:t>
      </w:r>
    </w:p>
    <w:p w14:paraId="1BC0CC74">
      <w:pPr>
        <w:adjustRightInd w:val="0"/>
        <w:snapToGrid w:val="0"/>
        <w:spacing w:line="480" w:lineRule="exact"/>
        <w:ind w:firstLine="520"/>
        <w:rPr>
          <w:sz w:val="26"/>
        </w:rPr>
      </w:pPr>
      <w:r>
        <w:rPr>
          <w:rFonts w:hint="eastAsia"/>
          <w:sz w:val="26"/>
        </w:rPr>
        <w:t>根据区域植被类型及景观多样性调查分析，评价范围内植被类型较为单一，景观多样性程度较低，异质化程度不高，具有一定的阻抗稳定性，但稳定性一般。规划实施后，仅在对占地范围内很小的局部范围内植被造成损坏，不会造成整个区域景观多样性降低，对区域阻抗稳定性影响较小。</w:t>
      </w:r>
    </w:p>
    <w:p w14:paraId="3EEF1D04">
      <w:pPr>
        <w:autoSpaceDE w:val="0"/>
        <w:autoSpaceDN w:val="0"/>
        <w:adjustRightInd w:val="0"/>
        <w:snapToGrid w:val="0"/>
        <w:spacing w:line="480" w:lineRule="exact"/>
        <w:ind w:firstLine="522" w:firstLineChars="200"/>
        <w:outlineLvl w:val="1"/>
        <w:rPr>
          <w:b/>
          <w:sz w:val="26"/>
          <w:szCs w:val="26"/>
        </w:rPr>
      </w:pPr>
      <w:bookmarkStart w:id="42" w:name="_Toc179298802"/>
      <w:bookmarkStart w:id="43" w:name="_Toc89101485"/>
      <w:r>
        <w:rPr>
          <w:rFonts w:hint="eastAsia"/>
          <w:b/>
          <w:sz w:val="26"/>
          <w:szCs w:val="26"/>
        </w:rPr>
        <w:t>4.</w:t>
      </w:r>
      <w:r>
        <w:rPr>
          <w:b/>
          <w:sz w:val="26"/>
          <w:szCs w:val="26"/>
        </w:rPr>
        <w:t>3</w:t>
      </w:r>
      <w:r>
        <w:rPr>
          <w:rFonts w:hint="eastAsia"/>
          <w:b/>
          <w:sz w:val="26"/>
          <w:szCs w:val="26"/>
        </w:rPr>
        <w:t>大气</w:t>
      </w:r>
      <w:r>
        <w:rPr>
          <w:b/>
          <w:sz w:val="26"/>
          <w:szCs w:val="26"/>
        </w:rPr>
        <w:t>环境影响分析</w:t>
      </w:r>
      <w:bookmarkEnd w:id="42"/>
      <w:bookmarkEnd w:id="43"/>
    </w:p>
    <w:p w14:paraId="7F555772">
      <w:pPr>
        <w:adjustRightInd w:val="0"/>
        <w:snapToGrid w:val="0"/>
        <w:spacing w:line="480" w:lineRule="exact"/>
        <w:ind w:firstLine="520"/>
        <w:rPr>
          <w:sz w:val="26"/>
        </w:rPr>
      </w:pPr>
      <w:r>
        <w:rPr>
          <w:rFonts w:hint="eastAsia"/>
          <w:sz w:val="26"/>
        </w:rPr>
        <w:t>采取密闭和洒水抑尘措施控制工业场地和运输扬尘无组织，</w:t>
      </w:r>
      <w:r>
        <w:rPr>
          <w:sz w:val="26"/>
        </w:rPr>
        <w:t>根据</w:t>
      </w:r>
      <w:r>
        <w:rPr>
          <w:rFonts w:hint="eastAsia"/>
          <w:sz w:val="26"/>
        </w:rPr>
        <w:t>预测，各</w:t>
      </w:r>
      <w:r>
        <w:rPr>
          <w:sz w:val="26"/>
        </w:rPr>
        <w:t>煤矿排放的扬尘（颗粒物）均能满足《煤炭工业污染物排放标准》（GB20426-2006）无组织排放标准要求，对周边环境空气影响较小。</w:t>
      </w:r>
    </w:p>
    <w:p w14:paraId="033B620D">
      <w:pPr>
        <w:adjustRightInd w:val="0"/>
        <w:snapToGrid w:val="0"/>
        <w:spacing w:line="480" w:lineRule="exact"/>
        <w:ind w:firstLine="520" w:firstLineChars="200"/>
        <w:rPr>
          <w:sz w:val="26"/>
        </w:rPr>
      </w:pPr>
      <w:r>
        <w:rPr>
          <w:rFonts w:hint="eastAsia"/>
          <w:sz w:val="26"/>
          <w:szCs w:val="26"/>
        </w:rPr>
        <w:t>根据</w:t>
      </w:r>
      <w:r>
        <w:rPr>
          <w:sz w:val="26"/>
          <w:szCs w:val="26"/>
        </w:rPr>
        <w:t>各规划矿井瓦斯</w:t>
      </w:r>
      <w:r>
        <w:rPr>
          <w:rFonts w:hint="eastAsia"/>
          <w:sz w:val="26"/>
          <w:szCs w:val="26"/>
        </w:rPr>
        <w:t>使用量</w:t>
      </w:r>
      <w:r>
        <w:rPr>
          <w:sz w:val="26"/>
          <w:szCs w:val="26"/>
        </w:rPr>
        <w:t>及发电量，计算得NO</w:t>
      </w:r>
      <w:r>
        <w:rPr>
          <w:sz w:val="26"/>
          <w:szCs w:val="26"/>
          <w:vertAlign w:val="subscript"/>
        </w:rPr>
        <w:t>x</w:t>
      </w:r>
      <w:r>
        <w:rPr>
          <w:sz w:val="26"/>
          <w:szCs w:val="26"/>
        </w:rPr>
        <w:t>比质量约为266mg/kW.h</w:t>
      </w:r>
      <w:r>
        <w:rPr>
          <w:rFonts w:hint="eastAsia"/>
          <w:sz w:val="26"/>
          <w:szCs w:val="26"/>
        </w:rPr>
        <w:t>，</w:t>
      </w:r>
      <w:r>
        <w:rPr>
          <w:sz w:val="26"/>
          <w:szCs w:val="26"/>
        </w:rPr>
        <w:t>可满足《重型柴油车污染物排放限值及测量方法（中国第六阶段）》（GB17691-2018）表1点燃式发动机NO</w:t>
      </w:r>
      <w:r>
        <w:rPr>
          <w:sz w:val="26"/>
          <w:szCs w:val="26"/>
          <w:vertAlign w:val="subscript"/>
        </w:rPr>
        <w:t>x</w:t>
      </w:r>
      <w:r>
        <w:rPr>
          <w:sz w:val="26"/>
          <w:szCs w:val="26"/>
        </w:rPr>
        <w:t>排放限值（460mg/kW.h）要求</w:t>
      </w:r>
      <w:r>
        <w:rPr>
          <w:rFonts w:hint="eastAsia"/>
          <w:sz w:val="26"/>
          <w:szCs w:val="26"/>
        </w:rPr>
        <w:t>；</w:t>
      </w:r>
      <w:r>
        <w:rPr>
          <w:sz w:val="26"/>
          <w:szCs w:val="26"/>
        </w:rPr>
        <w:t>正常工况下，</w:t>
      </w:r>
      <w:r>
        <w:rPr>
          <w:rFonts w:hint="eastAsia"/>
          <w:sz w:val="26"/>
          <w:szCs w:val="26"/>
        </w:rPr>
        <w:t>规划矿井</w:t>
      </w:r>
      <w:r>
        <w:rPr>
          <w:sz w:val="26"/>
          <w:szCs w:val="26"/>
        </w:rPr>
        <w:t>工业场地及洗选（破碎、筛分）排放的扬尘（颗粒物）除尘效率约为99.</w:t>
      </w:r>
      <w:r>
        <w:rPr>
          <w:rFonts w:hint="eastAsia"/>
          <w:sz w:val="26"/>
          <w:szCs w:val="26"/>
        </w:rPr>
        <w:t>5</w:t>
      </w:r>
      <w:r>
        <w:rPr>
          <w:sz w:val="26"/>
          <w:szCs w:val="26"/>
        </w:rPr>
        <w:t>%和99.9%</w:t>
      </w:r>
      <w:r>
        <w:rPr>
          <w:rFonts w:hint="eastAsia"/>
          <w:sz w:val="26"/>
          <w:szCs w:val="26"/>
        </w:rPr>
        <w:t>，洗选（破碎、筛分）排放扬尘（颗粒物）浓度</w:t>
      </w:r>
      <w:r>
        <w:rPr>
          <w:sz w:val="26"/>
          <w:szCs w:val="26"/>
        </w:rPr>
        <w:t>约为3.8mg/m</w:t>
      </w:r>
      <w:r>
        <w:rPr>
          <w:sz w:val="26"/>
          <w:szCs w:val="26"/>
          <w:vertAlign w:val="superscript"/>
        </w:rPr>
        <w:t>3</w:t>
      </w:r>
      <w:r>
        <w:rPr>
          <w:rFonts w:hint="eastAsia"/>
          <w:sz w:val="26"/>
          <w:szCs w:val="26"/>
        </w:rPr>
        <w:t>~</w:t>
      </w:r>
      <w:r>
        <w:rPr>
          <w:sz w:val="26"/>
          <w:szCs w:val="26"/>
        </w:rPr>
        <w:t>8.5mg/m</w:t>
      </w:r>
      <w:r>
        <w:rPr>
          <w:sz w:val="26"/>
          <w:szCs w:val="26"/>
          <w:vertAlign w:val="superscript"/>
        </w:rPr>
        <w:t>3</w:t>
      </w:r>
      <w:r>
        <w:rPr>
          <w:sz w:val="26"/>
          <w:szCs w:val="26"/>
        </w:rPr>
        <w:t>，可满足《煤炭工业污染物排放标准》（GB20426-2006）中“颗粒物（</w:t>
      </w:r>
      <w:r>
        <w:rPr>
          <w:kern w:val="0"/>
          <w:sz w:val="26"/>
          <w:szCs w:val="26"/>
        </w:rPr>
        <w:t>原煤筛分、破碎、转载点等除尘设备</w:t>
      </w:r>
      <w:r>
        <w:rPr>
          <w:sz w:val="26"/>
          <w:szCs w:val="26"/>
        </w:rPr>
        <w:t>）</w:t>
      </w:r>
      <w:r>
        <w:rPr>
          <w:kern w:val="0"/>
          <w:sz w:val="26"/>
          <w:szCs w:val="26"/>
        </w:rPr>
        <w:t>80mg/m³或设备去除效率＞98%</w:t>
      </w:r>
      <w:r>
        <w:rPr>
          <w:sz w:val="26"/>
          <w:szCs w:val="26"/>
        </w:rPr>
        <w:t>”的要求，预计无组织排放扬尘（颗粒物）可满足</w:t>
      </w:r>
      <w:r>
        <w:rPr>
          <w:sz w:val="26"/>
        </w:rPr>
        <w:t>《煤炭工业污染物排放标准》（GB20426-2006）的要求</w:t>
      </w:r>
      <w:r>
        <w:rPr>
          <w:rFonts w:hint="eastAsia"/>
          <w:sz w:val="26"/>
        </w:rPr>
        <w:t>。根据大气预测结果，</w:t>
      </w:r>
      <w:r>
        <w:rPr>
          <w:rFonts w:hint="eastAsia"/>
          <w:sz w:val="26"/>
          <w:szCs w:val="26"/>
        </w:rPr>
        <w:t>规划实施后，各区域敏感点及网格点处均满足二类区《环境空气质量标准》（</w:t>
      </w:r>
      <w:r>
        <w:rPr>
          <w:sz w:val="26"/>
          <w:szCs w:val="26"/>
        </w:rPr>
        <w:t>GB3095-2012</w:t>
      </w:r>
      <w:r>
        <w:rPr>
          <w:rFonts w:hint="eastAsia"/>
          <w:sz w:val="26"/>
          <w:szCs w:val="26"/>
        </w:rPr>
        <w:t>）相应标准限值要求</w:t>
      </w:r>
      <w:r>
        <w:rPr>
          <w:rFonts w:hint="eastAsia"/>
          <w:sz w:val="26"/>
        </w:rPr>
        <w:t>，未改变区域环境空气质量区划，</w:t>
      </w:r>
      <w:r>
        <w:rPr>
          <w:sz w:val="26"/>
        </w:rPr>
        <w:t>对周边环境空气影响</w:t>
      </w:r>
      <w:r>
        <w:rPr>
          <w:rFonts w:hint="eastAsia"/>
          <w:sz w:val="26"/>
        </w:rPr>
        <w:t>可接受</w:t>
      </w:r>
      <w:r>
        <w:rPr>
          <w:sz w:val="26"/>
        </w:rPr>
        <w:t>。</w:t>
      </w:r>
    </w:p>
    <w:p w14:paraId="47FA65D7">
      <w:pPr>
        <w:autoSpaceDE w:val="0"/>
        <w:autoSpaceDN w:val="0"/>
        <w:adjustRightInd w:val="0"/>
        <w:snapToGrid w:val="0"/>
        <w:spacing w:line="480" w:lineRule="exact"/>
        <w:ind w:firstLine="522" w:firstLineChars="200"/>
        <w:outlineLvl w:val="1"/>
        <w:rPr>
          <w:b/>
          <w:sz w:val="26"/>
          <w:szCs w:val="26"/>
        </w:rPr>
      </w:pPr>
      <w:bookmarkStart w:id="44" w:name="_Toc179298803"/>
      <w:bookmarkStart w:id="45" w:name="_Toc89101486"/>
      <w:r>
        <w:rPr>
          <w:rFonts w:hint="eastAsia"/>
          <w:b/>
          <w:sz w:val="26"/>
          <w:szCs w:val="26"/>
        </w:rPr>
        <w:t>4</w:t>
      </w:r>
      <w:r>
        <w:rPr>
          <w:b/>
          <w:sz w:val="26"/>
          <w:szCs w:val="26"/>
        </w:rPr>
        <w:t>.4</w:t>
      </w:r>
      <w:r>
        <w:rPr>
          <w:rFonts w:hint="eastAsia"/>
          <w:b/>
          <w:sz w:val="26"/>
          <w:szCs w:val="26"/>
        </w:rPr>
        <w:t>地表水</w:t>
      </w:r>
      <w:r>
        <w:rPr>
          <w:b/>
          <w:sz w:val="26"/>
          <w:szCs w:val="26"/>
        </w:rPr>
        <w:t>环境影响分析</w:t>
      </w:r>
      <w:bookmarkEnd w:id="44"/>
      <w:bookmarkEnd w:id="45"/>
    </w:p>
    <w:p w14:paraId="0D6F1800">
      <w:pPr>
        <w:tabs>
          <w:tab w:val="left" w:pos="8295"/>
        </w:tabs>
        <w:adjustRightInd w:val="0"/>
        <w:snapToGrid w:val="0"/>
        <w:spacing w:line="480" w:lineRule="exact"/>
        <w:ind w:firstLine="520" w:firstLineChars="200"/>
        <w:rPr>
          <w:sz w:val="26"/>
        </w:rPr>
      </w:pPr>
      <w:r>
        <w:rPr>
          <w:rFonts w:hint="eastAsia"/>
          <w:sz w:val="26"/>
          <w:szCs w:val="26"/>
        </w:rPr>
        <w:t>本矿区各煤矿产生的</w:t>
      </w:r>
      <w:r>
        <w:rPr>
          <w:rFonts w:hint="eastAsia"/>
          <w:sz w:val="26"/>
          <w:szCs w:val="24"/>
        </w:rPr>
        <w:t>生活污水全部经生活污水处理设施处理后，回用于厂区绿化用水、地面冲洗用水、煤炭洗选补充水等，不外排，对周边地表水体影响小。</w:t>
      </w:r>
    </w:p>
    <w:p w14:paraId="1D075FAF">
      <w:pPr>
        <w:tabs>
          <w:tab w:val="left" w:pos="8295"/>
        </w:tabs>
        <w:adjustRightInd w:val="0"/>
        <w:snapToGrid w:val="0"/>
        <w:spacing w:line="480" w:lineRule="exact"/>
        <w:ind w:firstLine="520" w:firstLineChars="200"/>
        <w:rPr>
          <w:sz w:val="26"/>
          <w:szCs w:val="26"/>
        </w:rPr>
      </w:pPr>
      <w:r>
        <w:rPr>
          <w:rFonts w:hint="eastAsia"/>
          <w:sz w:val="26"/>
          <w:szCs w:val="26"/>
        </w:rPr>
        <w:t>规划煤矿矿井水经最大程度综合利用后，仍存在部分</w:t>
      </w:r>
      <w:r>
        <w:rPr>
          <w:sz w:val="26"/>
          <w:szCs w:val="26"/>
        </w:rPr>
        <w:t>矿井水</w:t>
      </w:r>
      <w:r>
        <w:rPr>
          <w:rFonts w:hint="eastAsia"/>
          <w:sz w:val="26"/>
          <w:szCs w:val="26"/>
        </w:rPr>
        <w:t>需</w:t>
      </w:r>
      <w:r>
        <w:rPr>
          <w:sz w:val="26"/>
          <w:szCs w:val="26"/>
        </w:rPr>
        <w:t>外排</w:t>
      </w:r>
      <w:r>
        <w:rPr>
          <w:rFonts w:hint="eastAsia"/>
          <w:sz w:val="26"/>
          <w:szCs w:val="26"/>
        </w:rPr>
        <w:t>情况</w:t>
      </w:r>
      <w:r>
        <w:rPr>
          <w:sz w:val="26"/>
          <w:szCs w:val="26"/>
        </w:rPr>
        <w:t>，</w:t>
      </w:r>
      <w:r>
        <w:rPr>
          <w:rFonts w:hint="eastAsia"/>
          <w:sz w:val="26"/>
          <w:szCs w:val="26"/>
        </w:rPr>
        <w:t>规划矿井均配套规划建设矿井水处理站，确需外排的矿井水经矿井水处理站处理后</w:t>
      </w:r>
      <w:r>
        <w:rPr>
          <w:sz w:val="26"/>
          <w:szCs w:val="24"/>
        </w:rPr>
        <w:t>满足</w:t>
      </w:r>
      <w:r>
        <w:rPr>
          <w:rFonts w:hint="eastAsia"/>
          <w:sz w:val="26"/>
          <w:szCs w:val="24"/>
        </w:rPr>
        <w:t>《地表水环境质量标准》（GB3838-2002）中III类标准以及</w:t>
      </w:r>
      <w:r>
        <w:rPr>
          <w:sz w:val="26"/>
          <w:szCs w:val="24"/>
        </w:rPr>
        <w:t>含盐量不</w:t>
      </w:r>
      <w:r>
        <w:rPr>
          <w:rFonts w:hint="eastAsia"/>
          <w:sz w:val="26"/>
          <w:szCs w:val="24"/>
        </w:rPr>
        <w:t>高</w:t>
      </w:r>
      <w:r>
        <w:rPr>
          <w:sz w:val="26"/>
          <w:szCs w:val="24"/>
        </w:rPr>
        <w:t>于</w:t>
      </w:r>
      <w:r>
        <w:rPr>
          <w:rFonts w:hint="eastAsia"/>
          <w:sz w:val="26"/>
          <w:szCs w:val="24"/>
        </w:rPr>
        <w:t>1000mg</w:t>
      </w:r>
      <w:r>
        <w:rPr>
          <w:sz w:val="26"/>
          <w:szCs w:val="24"/>
        </w:rPr>
        <w:t>/m</w:t>
      </w:r>
      <w:r>
        <w:rPr>
          <w:sz w:val="26"/>
          <w:szCs w:val="24"/>
          <w:vertAlign w:val="superscript"/>
        </w:rPr>
        <w:t>3</w:t>
      </w:r>
      <w:r>
        <w:rPr>
          <w:rFonts w:hint="eastAsia"/>
          <w:sz w:val="26"/>
          <w:szCs w:val="24"/>
        </w:rPr>
        <w:t>的</w:t>
      </w:r>
      <w:r>
        <w:rPr>
          <w:sz w:val="26"/>
          <w:szCs w:val="24"/>
        </w:rPr>
        <w:t>要求</w:t>
      </w:r>
      <w:r>
        <w:rPr>
          <w:rFonts w:hint="eastAsia"/>
          <w:sz w:val="26"/>
          <w:szCs w:val="24"/>
        </w:rPr>
        <w:t>后外排，外排污废水对当地河流及其支流影响可接受。此外，鉴于赤水河上分布有贵州茅台酒厂、习酒厂、古蔺郎酒厂取水口等重要水工工程，本评价也提出了，规划项目实施阶段严格依法依规规范化设置入河排污口，合法合规排污。</w:t>
      </w:r>
    </w:p>
    <w:p w14:paraId="7CD8AC61">
      <w:pPr>
        <w:autoSpaceDE w:val="0"/>
        <w:autoSpaceDN w:val="0"/>
        <w:adjustRightInd w:val="0"/>
        <w:snapToGrid w:val="0"/>
        <w:spacing w:line="480" w:lineRule="exact"/>
        <w:ind w:firstLine="522" w:firstLineChars="200"/>
        <w:outlineLvl w:val="1"/>
        <w:rPr>
          <w:b/>
          <w:sz w:val="26"/>
          <w:szCs w:val="26"/>
        </w:rPr>
      </w:pPr>
      <w:bookmarkStart w:id="46" w:name="_Toc179298804"/>
      <w:bookmarkStart w:id="47" w:name="_Toc89101487"/>
      <w:r>
        <w:rPr>
          <w:rFonts w:hint="eastAsia"/>
          <w:b/>
          <w:sz w:val="26"/>
          <w:szCs w:val="26"/>
        </w:rPr>
        <w:t>4</w:t>
      </w:r>
      <w:r>
        <w:rPr>
          <w:b/>
          <w:sz w:val="26"/>
          <w:szCs w:val="26"/>
        </w:rPr>
        <w:t>.5</w:t>
      </w:r>
      <w:r>
        <w:rPr>
          <w:rFonts w:hint="eastAsia"/>
          <w:b/>
          <w:sz w:val="26"/>
          <w:szCs w:val="26"/>
        </w:rPr>
        <w:t>地下水</w:t>
      </w:r>
      <w:r>
        <w:rPr>
          <w:b/>
          <w:sz w:val="26"/>
          <w:szCs w:val="26"/>
        </w:rPr>
        <w:t>环境影响分析</w:t>
      </w:r>
      <w:bookmarkEnd w:id="46"/>
      <w:bookmarkEnd w:id="47"/>
    </w:p>
    <w:p w14:paraId="05BEAD72">
      <w:pPr>
        <w:spacing w:line="480" w:lineRule="exact"/>
        <w:ind w:firstLine="510"/>
        <w:rPr>
          <w:sz w:val="26"/>
        </w:rPr>
      </w:pPr>
      <w:r>
        <w:rPr>
          <w:rFonts w:hint="eastAsia"/>
          <w:sz w:val="26"/>
        </w:rPr>
        <w:t>二郎规划区除高山等区域分散居民仍以泉、井为分散饮用水源外，绝大部分居民已实现了市政集中供水覆盖。此外二郎矿区地质构造总体发育、断层分布较广、煤系地层上下分别有岩溶地层，</w:t>
      </w:r>
      <w:r>
        <w:rPr>
          <w:rFonts w:hint="eastAsia"/>
          <w:sz w:val="26"/>
          <w:szCs w:val="26"/>
        </w:rPr>
        <w:t>水文地质条件从简单到较复杂。</w:t>
      </w:r>
    </w:p>
    <w:p w14:paraId="7D41E067">
      <w:pPr>
        <w:spacing w:line="480" w:lineRule="exact"/>
        <w:ind w:firstLine="510"/>
        <w:rPr>
          <w:sz w:val="26"/>
        </w:rPr>
      </w:pPr>
      <w:r>
        <w:rPr>
          <w:rFonts w:hint="eastAsia"/>
          <w:sz w:val="26"/>
        </w:rPr>
        <w:t>根据矿区导水裂隙实测数据以及经验公式计算，规划区内各煤层开采不会导通或触及其上覆富水性较强的具有供水意义含水层，各煤层开采对上覆关注的供水意义含水层影响较小。</w:t>
      </w:r>
    </w:p>
    <w:p w14:paraId="2394A024">
      <w:pPr>
        <w:spacing w:line="480" w:lineRule="exact"/>
        <w:ind w:firstLine="510"/>
        <w:rPr>
          <w:sz w:val="26"/>
        </w:rPr>
      </w:pPr>
      <w:r>
        <w:rPr>
          <w:rFonts w:hint="eastAsia"/>
          <w:sz w:val="26"/>
        </w:rPr>
        <w:t>根据预测，矿区范围内各煤矿煤层开采造成含水层影响半径约为采止线外至60m区域。本区各含水层以大气降水补给为主，侧向补给为辅。根据各矿井水文地质勘查报告，在浅部，由于风化裂隙发育，透水性强，接受降雨补给或上覆地层风化裂隙水渗透补给，由于下亚段顶部砂质泥岩有一定隔水型，因而上下亚段交界处富水性较强，根据煤矿防治水规范要求，风氧化带留设防水煤岩柱后，含水层漏失影响半径未达到</w:t>
      </w:r>
      <w:bookmarkStart w:id="65" w:name="_GoBack"/>
      <w:bookmarkEnd w:id="65"/>
      <w:r>
        <w:rPr>
          <w:rFonts w:hint="eastAsia"/>
          <w:sz w:val="26"/>
        </w:rPr>
        <w:t>含水层，因此各煤层开采对采止线周边含水层漏失影响较小。</w:t>
      </w:r>
    </w:p>
    <w:p w14:paraId="28B260E1">
      <w:pPr>
        <w:spacing w:line="480" w:lineRule="exact"/>
        <w:ind w:firstLine="510"/>
        <w:rPr>
          <w:sz w:val="26"/>
        </w:rPr>
      </w:pPr>
      <w:r>
        <w:rPr>
          <w:rFonts w:hint="eastAsia"/>
          <w:sz w:val="26"/>
          <w:szCs w:val="26"/>
        </w:rPr>
        <w:t>煤系地层下伏主要含水层为二叠系茅口组、栖霞组强含水层。由于茅口灰岩受顶部凸凹不平和构造裂隙发育的影响，在粘土岩薄的部位或构造处失去隔水作用，造成底板突水安全隐患。鉴于底板突水属煤矿安全隐患管控范畴，本评价仅从环境保护角度提出预防和减轻突水安全事故次生环境影响措施。本评价提出应严格按照防治水安全规程，坚持“预测预报，有疑必探，先探后掘，先治后采”防治水原则，做好底板加固和底板突水防治工作，落实《国家发展改革委等部门关于加强矿井水保护和利用的指导意见》（发改环资〔2024〕226号），积极推广和采用综合探查与岩溶通道局部注浆帷幕、地面落水洞回填等治理工艺，改变井田局部范围内岩溶水系统补给条件，鼓励矿区岩溶裸露区构建地表植被生态系统，减少大气降水直接补给岩溶水系统。预防和减缓顶底板突水安全风险的同事，避免和减轻位于二叠系茅口组、栖霞组排泄区域附近区域的泉及含水层受采煤影响。</w:t>
      </w:r>
    </w:p>
    <w:p w14:paraId="107D00D0">
      <w:pPr>
        <w:spacing w:line="480" w:lineRule="exact"/>
        <w:ind w:firstLine="510"/>
        <w:rPr>
          <w:sz w:val="26"/>
        </w:rPr>
      </w:pPr>
      <w:r>
        <w:rPr>
          <w:rFonts w:hint="eastAsia"/>
          <w:sz w:val="26"/>
          <w:szCs w:val="26"/>
        </w:rPr>
        <w:t>此外，鉴于本次地下水预测评价分析基于区域现有的1：5万或更大比例水位地质勘查资料，区域内构造相对发育、断层、岩溶漏斗、洼地、暗河等不良水文地质条件分布较广，地下水预测分析存在一定的局限性，故本评价提出，后续规划井田项目实施阶段，应结合区域水文地质勘查结果，进一步论证各类煤岩柱、保护煤柱留设范围，同时强化采煤导水裂缝带跟踪观测和地下水水质水位跟踪监测，制定地下水保护应急预案，确保区域地下水供水功能不受采煤活动影响。</w:t>
      </w:r>
    </w:p>
    <w:p w14:paraId="1182EFFB">
      <w:pPr>
        <w:autoSpaceDE w:val="0"/>
        <w:autoSpaceDN w:val="0"/>
        <w:adjustRightInd w:val="0"/>
        <w:snapToGrid w:val="0"/>
        <w:spacing w:line="480" w:lineRule="exact"/>
        <w:ind w:firstLine="522" w:firstLineChars="200"/>
        <w:outlineLvl w:val="1"/>
        <w:rPr>
          <w:b/>
          <w:sz w:val="26"/>
          <w:szCs w:val="26"/>
        </w:rPr>
      </w:pPr>
      <w:bookmarkStart w:id="48" w:name="_Toc89101488"/>
      <w:bookmarkStart w:id="49" w:name="_Toc179298805"/>
      <w:r>
        <w:rPr>
          <w:rFonts w:hint="eastAsia"/>
          <w:b/>
          <w:sz w:val="26"/>
          <w:szCs w:val="26"/>
        </w:rPr>
        <w:t>4</w:t>
      </w:r>
      <w:r>
        <w:rPr>
          <w:b/>
          <w:sz w:val="26"/>
          <w:szCs w:val="26"/>
        </w:rPr>
        <w:t>.6</w:t>
      </w:r>
      <w:r>
        <w:rPr>
          <w:rFonts w:hint="eastAsia"/>
          <w:b/>
          <w:sz w:val="26"/>
          <w:szCs w:val="26"/>
        </w:rPr>
        <w:t>土壤环境</w:t>
      </w:r>
      <w:r>
        <w:rPr>
          <w:b/>
          <w:sz w:val="26"/>
          <w:szCs w:val="26"/>
        </w:rPr>
        <w:t>环境影响分析</w:t>
      </w:r>
      <w:bookmarkEnd w:id="48"/>
      <w:bookmarkEnd w:id="49"/>
    </w:p>
    <w:p w14:paraId="75C2685D">
      <w:pPr>
        <w:adjustRightInd w:val="0"/>
        <w:snapToGrid w:val="0"/>
        <w:spacing w:line="480" w:lineRule="exact"/>
        <w:ind w:firstLine="520"/>
        <w:rPr>
          <w:sz w:val="26"/>
        </w:rPr>
      </w:pPr>
      <w:r>
        <w:rPr>
          <w:rFonts w:hint="eastAsia"/>
          <w:sz w:val="26"/>
        </w:rPr>
        <w:t>各煤矿工业场地原煤采用封闭/半封闭式输煤设施，在防雨棚（地面进行了硬化、防渗）内暂存堆放，工业场地内可能影响土壤环境质量的分别为矿井水处理和生活污水处理站等可能造成垂直入渗的区域，其污染物主要成份为COD、氨氮等。煤矿开采产生的污废水中重金属污染因子含量极低，矿井水处理站、生活污水处理站以及配套的水池等建构筑物均进行硬化和防渗处理；因此，各煤矿工业场地对土壤环境质量影响较小。</w:t>
      </w:r>
    </w:p>
    <w:p w14:paraId="7E8C65AC">
      <w:pPr>
        <w:autoSpaceDE w:val="0"/>
        <w:autoSpaceDN w:val="0"/>
        <w:adjustRightInd w:val="0"/>
        <w:snapToGrid w:val="0"/>
        <w:spacing w:line="480" w:lineRule="exact"/>
        <w:ind w:firstLine="522" w:firstLineChars="200"/>
        <w:outlineLvl w:val="1"/>
        <w:rPr>
          <w:b/>
          <w:sz w:val="26"/>
          <w:szCs w:val="26"/>
        </w:rPr>
      </w:pPr>
      <w:bookmarkStart w:id="50" w:name="_Toc89101489"/>
      <w:bookmarkStart w:id="51" w:name="_Toc179298806"/>
      <w:r>
        <w:rPr>
          <w:rFonts w:hint="eastAsia"/>
          <w:b/>
          <w:sz w:val="26"/>
          <w:szCs w:val="26"/>
        </w:rPr>
        <w:t>4</w:t>
      </w:r>
      <w:r>
        <w:rPr>
          <w:b/>
          <w:sz w:val="26"/>
          <w:szCs w:val="26"/>
        </w:rPr>
        <w:t>.7</w:t>
      </w:r>
      <w:r>
        <w:rPr>
          <w:rFonts w:hint="eastAsia"/>
          <w:b/>
          <w:sz w:val="26"/>
          <w:szCs w:val="26"/>
        </w:rPr>
        <w:t>声环境</w:t>
      </w:r>
      <w:r>
        <w:rPr>
          <w:b/>
          <w:sz w:val="26"/>
          <w:szCs w:val="26"/>
        </w:rPr>
        <w:t>环境影响分析</w:t>
      </w:r>
      <w:bookmarkEnd w:id="50"/>
      <w:bookmarkEnd w:id="51"/>
    </w:p>
    <w:p w14:paraId="2C2234B2">
      <w:pPr>
        <w:adjustRightInd w:val="0"/>
        <w:snapToGrid w:val="0"/>
        <w:spacing w:line="480" w:lineRule="exact"/>
        <w:ind w:firstLine="520"/>
        <w:rPr>
          <w:sz w:val="26"/>
        </w:rPr>
      </w:pPr>
      <w:r>
        <w:rPr>
          <w:rFonts w:hint="eastAsia"/>
          <w:sz w:val="26"/>
        </w:rPr>
        <w:t>本矿区各煤矿工业场地内机械设备噪声是对声环境产生影响的主要因素之一，噪声源强一般在70-100dB(A)之间，会对周边声环境产生一定影响。</w:t>
      </w:r>
    </w:p>
    <w:p w14:paraId="578033A1">
      <w:pPr>
        <w:adjustRightInd w:val="0"/>
        <w:snapToGrid w:val="0"/>
        <w:spacing w:line="480" w:lineRule="exact"/>
        <w:ind w:firstLine="520"/>
        <w:rPr>
          <w:sz w:val="26"/>
        </w:rPr>
      </w:pPr>
      <w:r>
        <w:rPr>
          <w:rFonts w:hint="eastAsia"/>
          <w:sz w:val="26"/>
        </w:rPr>
        <w:t>各煤矿企业对工业场地机械设备噪声通过选取低噪设备、设备减震、隔声、消声、吸声等措施处理，使得各厂界噪声可以达到《工业企业厂界噪声标准》（GB12348－2008）中2类标准要求。</w:t>
      </w:r>
    </w:p>
    <w:p w14:paraId="7EF2724D">
      <w:pPr>
        <w:adjustRightInd w:val="0"/>
        <w:snapToGrid w:val="0"/>
        <w:spacing w:line="480" w:lineRule="exact"/>
        <w:ind w:firstLine="520"/>
        <w:rPr>
          <w:sz w:val="26"/>
        </w:rPr>
      </w:pPr>
      <w:r>
        <w:rPr>
          <w:rFonts w:hint="eastAsia"/>
          <w:sz w:val="26"/>
        </w:rPr>
        <w:t>公路运输噪声与采取的运输车辆、道路路况、载重量大小、运行速度有关。一般情况下，运输车辆状况不佳、道路状况不良、车辆超载、车速快、爬坡时的噪声较大，影响范围也较大。根据现有煤炭运输交通噪声影响类比，煤矿公路运输一般影响距离在200m以内。车辆进行运输时需要合理安排运输时间，加强运输车辆管理，严禁夜间运输；若无法避开居民住宅等敏感点时，禁止鸣笛，减速慢行。</w:t>
      </w:r>
    </w:p>
    <w:p w14:paraId="24168640">
      <w:pPr>
        <w:autoSpaceDE w:val="0"/>
        <w:autoSpaceDN w:val="0"/>
        <w:adjustRightInd w:val="0"/>
        <w:snapToGrid w:val="0"/>
        <w:spacing w:line="480" w:lineRule="exact"/>
        <w:ind w:firstLine="522" w:firstLineChars="200"/>
        <w:outlineLvl w:val="1"/>
        <w:rPr>
          <w:b/>
          <w:sz w:val="26"/>
          <w:szCs w:val="26"/>
        </w:rPr>
      </w:pPr>
      <w:bookmarkStart w:id="52" w:name="_Toc89101490"/>
      <w:bookmarkStart w:id="53" w:name="_Toc179298807"/>
      <w:r>
        <w:rPr>
          <w:rFonts w:hint="eastAsia"/>
          <w:b/>
          <w:sz w:val="26"/>
          <w:szCs w:val="26"/>
        </w:rPr>
        <w:t>4.8固体废物</w:t>
      </w:r>
      <w:r>
        <w:rPr>
          <w:b/>
          <w:sz w:val="26"/>
          <w:szCs w:val="26"/>
        </w:rPr>
        <w:t>环境影响分析</w:t>
      </w:r>
      <w:bookmarkEnd w:id="52"/>
      <w:bookmarkEnd w:id="53"/>
    </w:p>
    <w:p w14:paraId="549B4DBB">
      <w:pPr>
        <w:adjustRightInd w:val="0"/>
        <w:snapToGrid w:val="0"/>
        <w:spacing w:line="480" w:lineRule="exact"/>
        <w:ind w:firstLine="520"/>
        <w:rPr>
          <w:sz w:val="26"/>
        </w:rPr>
      </w:pPr>
      <w:r>
        <w:rPr>
          <w:rFonts w:hint="eastAsia"/>
          <w:sz w:val="26"/>
        </w:rPr>
        <w:t>掘进矸石、洗选矸石、干选矸石主要成分为岩石，并含有少量煤炭，具有一定的热值，可作为制砖、水泥等建材原辅料综合利用。针对煤矸石，本评价提出禁止建设永久性矸石堆场，严格落实</w:t>
      </w:r>
      <w:r>
        <w:rPr>
          <w:rFonts w:hint="eastAsia"/>
          <w:sz w:val="26"/>
          <w:szCs w:val="26"/>
        </w:rPr>
        <w:t>《煤矸石综合利用管理办法》相关要求，鼓励煤矿实施矸石井下充填、制砖、水泥建材、矸石敷设道路等实现多途径全部综合利用。</w:t>
      </w:r>
    </w:p>
    <w:p w14:paraId="09F63EC7">
      <w:pPr>
        <w:adjustRightInd w:val="0"/>
        <w:snapToGrid w:val="0"/>
        <w:spacing w:line="480" w:lineRule="exact"/>
        <w:ind w:firstLine="520"/>
        <w:rPr>
          <w:sz w:val="26"/>
        </w:rPr>
      </w:pPr>
      <w:r>
        <w:rPr>
          <w:rFonts w:hint="eastAsia"/>
          <w:sz w:val="26"/>
        </w:rPr>
        <w:t>采掘设备和运输车辆维修时更换废润滑油属于危险废物（HW08 900-214-08），按照《危险废物贮存污染控制标准》（GB18597-2023）的要求，在机修车间内设置暂存间暂存，定期将废润滑油交由危废资质单位专业化处理。暂存间内采用油脂铁桶盛装，设置围堰防遗撒，底部采取HDPE膜防渗措施，同时制定废润滑油贮存、转运、委托处置五联单环境管理制度。</w:t>
      </w:r>
    </w:p>
    <w:p w14:paraId="55135D99">
      <w:pPr>
        <w:adjustRightInd w:val="0"/>
        <w:snapToGrid w:val="0"/>
        <w:spacing w:line="480" w:lineRule="exact"/>
        <w:ind w:firstLine="520"/>
        <w:rPr>
          <w:sz w:val="26"/>
        </w:rPr>
      </w:pPr>
      <w:r>
        <w:rPr>
          <w:rFonts w:hint="eastAsia"/>
          <w:sz w:val="26"/>
        </w:rPr>
        <w:t>矿井水处理站会产生一定的煤泥，具有一定的热值，经脱水后可参入末煤作为产品外售。生活污水处理站产生的污泥与生活垃圾性质相当，产生量较少，可与生活垃圾一并有环卫部门统一处置。</w:t>
      </w:r>
    </w:p>
    <w:p w14:paraId="4A536D1D">
      <w:pPr>
        <w:adjustRightInd w:val="0"/>
        <w:snapToGrid w:val="0"/>
        <w:spacing w:line="480" w:lineRule="exact"/>
        <w:ind w:firstLine="520"/>
        <w:rPr>
          <w:sz w:val="26"/>
        </w:rPr>
      </w:pPr>
      <w:r>
        <w:rPr>
          <w:rFonts w:hint="eastAsia"/>
          <w:sz w:val="26"/>
        </w:rPr>
        <w:t>综上所述，本矿区拟采取的固体废物处置措施均为符合环保要求、经济合理且可操作性强的处理处置措施，采取上述措施后，施工过程、运营过程中产生的固体废物均可得到妥善处置，对当地环境影响较小。</w:t>
      </w:r>
    </w:p>
    <w:p w14:paraId="1E2D887D">
      <w:pPr>
        <w:widowControl/>
        <w:jc w:val="left"/>
        <w:rPr>
          <w:b/>
          <w:sz w:val="26"/>
          <w:szCs w:val="26"/>
        </w:rPr>
      </w:pPr>
      <w:bookmarkStart w:id="54" w:name="_Toc89101491"/>
      <w:bookmarkStart w:id="55" w:name="_Toc165999707"/>
      <w:r>
        <w:rPr>
          <w:b/>
          <w:sz w:val="26"/>
          <w:szCs w:val="26"/>
        </w:rPr>
        <w:br w:type="page"/>
      </w:r>
    </w:p>
    <w:p w14:paraId="305F7807">
      <w:pPr>
        <w:spacing w:before="156" w:beforeLines="50" w:after="156" w:afterLines="50"/>
        <w:ind w:firstLine="602"/>
        <w:jc w:val="center"/>
        <w:outlineLvl w:val="0"/>
        <w:rPr>
          <w:b/>
          <w:sz w:val="30"/>
          <w:szCs w:val="30"/>
        </w:rPr>
      </w:pPr>
      <w:bookmarkStart w:id="56" w:name="_Toc179298808"/>
      <w:r>
        <w:rPr>
          <w:rFonts w:hint="eastAsia"/>
          <w:b/>
          <w:sz w:val="30"/>
          <w:szCs w:val="30"/>
        </w:rPr>
        <w:t>5 矿区</w:t>
      </w:r>
      <w:r>
        <w:rPr>
          <w:b/>
          <w:sz w:val="30"/>
          <w:szCs w:val="30"/>
        </w:rPr>
        <w:t>资源</w:t>
      </w:r>
      <w:r>
        <w:rPr>
          <w:rFonts w:hint="eastAsia"/>
          <w:b/>
          <w:sz w:val="30"/>
          <w:szCs w:val="30"/>
        </w:rPr>
        <w:t>与</w:t>
      </w:r>
      <w:r>
        <w:rPr>
          <w:b/>
          <w:sz w:val="30"/>
          <w:szCs w:val="30"/>
        </w:rPr>
        <w:t>环境承载力分析</w:t>
      </w:r>
      <w:bookmarkEnd w:id="54"/>
      <w:bookmarkEnd w:id="55"/>
      <w:bookmarkEnd w:id="56"/>
    </w:p>
    <w:p w14:paraId="11A8B469">
      <w:pPr>
        <w:autoSpaceDE w:val="0"/>
        <w:autoSpaceDN w:val="0"/>
        <w:adjustRightInd w:val="0"/>
        <w:snapToGrid w:val="0"/>
        <w:spacing w:line="480" w:lineRule="exact"/>
        <w:ind w:firstLine="522" w:firstLineChars="200"/>
        <w:outlineLvl w:val="1"/>
        <w:rPr>
          <w:b/>
          <w:sz w:val="26"/>
          <w:szCs w:val="26"/>
        </w:rPr>
      </w:pPr>
      <w:bookmarkStart w:id="57" w:name="_Toc179298809"/>
      <w:r>
        <w:rPr>
          <w:rFonts w:hint="eastAsia"/>
          <w:b/>
          <w:sz w:val="26"/>
          <w:szCs w:val="26"/>
        </w:rPr>
        <w:t>5.1</w:t>
      </w:r>
      <w:r>
        <w:rPr>
          <w:b/>
          <w:sz w:val="26"/>
          <w:szCs w:val="26"/>
        </w:rPr>
        <w:t>水资源消耗</w:t>
      </w:r>
      <w:bookmarkEnd w:id="57"/>
    </w:p>
    <w:p w14:paraId="0FFDC2DB">
      <w:pPr>
        <w:adjustRightInd w:val="0"/>
        <w:snapToGrid w:val="0"/>
        <w:spacing w:line="480" w:lineRule="exact"/>
        <w:ind w:firstLine="520"/>
        <w:rPr>
          <w:sz w:val="26"/>
        </w:rPr>
      </w:pPr>
      <w:r>
        <w:rPr>
          <w:sz w:val="26"/>
        </w:rPr>
        <w:t>根据前文各矿井水平衡分析，各矿井生产用水均来自处理后矿井水，仅生活用水涉及新鲜取水，新鲜水消耗满足</w:t>
      </w:r>
      <w:r>
        <w:rPr>
          <w:rFonts w:hint="eastAsia"/>
          <w:sz w:val="26"/>
        </w:rPr>
        <w:t>《煤炭行业清洁生产评价指标体系》II级≤0.2m</w:t>
      </w:r>
      <w:r>
        <w:rPr>
          <w:rFonts w:hint="eastAsia"/>
          <w:sz w:val="26"/>
          <w:vertAlign w:val="superscript"/>
        </w:rPr>
        <w:t>3</w:t>
      </w:r>
      <w:r>
        <w:rPr>
          <w:rFonts w:hint="eastAsia"/>
          <w:sz w:val="26"/>
        </w:rPr>
        <w:t>/t的要求，区域水资源量可承载。</w:t>
      </w:r>
    </w:p>
    <w:p w14:paraId="2E47F56D">
      <w:pPr>
        <w:autoSpaceDE w:val="0"/>
        <w:autoSpaceDN w:val="0"/>
        <w:adjustRightInd w:val="0"/>
        <w:snapToGrid w:val="0"/>
        <w:spacing w:line="480" w:lineRule="exact"/>
        <w:ind w:firstLine="522" w:firstLineChars="200"/>
        <w:outlineLvl w:val="1"/>
        <w:rPr>
          <w:b/>
          <w:sz w:val="26"/>
          <w:szCs w:val="26"/>
        </w:rPr>
      </w:pPr>
      <w:bookmarkStart w:id="58" w:name="_Toc179298810"/>
      <w:r>
        <w:rPr>
          <w:rFonts w:hint="eastAsia"/>
          <w:b/>
          <w:sz w:val="26"/>
          <w:szCs w:val="26"/>
        </w:rPr>
        <w:t>5.2水环境承载能力</w:t>
      </w:r>
      <w:bookmarkEnd w:id="58"/>
    </w:p>
    <w:p w14:paraId="478D4309">
      <w:pPr>
        <w:adjustRightInd w:val="0"/>
        <w:snapToGrid w:val="0"/>
        <w:spacing w:line="480" w:lineRule="exact"/>
        <w:ind w:firstLine="520"/>
        <w:rPr>
          <w:sz w:val="26"/>
        </w:rPr>
      </w:pPr>
      <w:r>
        <w:rPr>
          <w:rFonts w:hint="eastAsia"/>
          <w:sz w:val="26"/>
          <w:szCs w:val="24"/>
        </w:rPr>
        <w:t>规划项目污废水最大程度综合利用，减少外排量；确需外排的，</w:t>
      </w:r>
      <w:r>
        <w:rPr>
          <w:rFonts w:hint="eastAsia"/>
          <w:sz w:val="26"/>
        </w:rPr>
        <w:t>废水经处理达《地表水环境质量标准》（GB3838-2002）的III类水质标准后外排当地III类地表水体</w:t>
      </w:r>
      <w:r>
        <w:rPr>
          <w:rFonts w:hint="eastAsia"/>
          <w:sz w:val="26"/>
          <w:szCs w:val="24"/>
        </w:rPr>
        <w:t>。</w:t>
      </w:r>
      <w:r>
        <w:rPr>
          <w:rFonts w:hint="eastAsia"/>
          <w:sz w:val="26"/>
        </w:rPr>
        <w:t>区域水环境承载力满足矿区规划项目的实施。</w:t>
      </w:r>
    </w:p>
    <w:p w14:paraId="751C2D6B">
      <w:pPr>
        <w:autoSpaceDE w:val="0"/>
        <w:autoSpaceDN w:val="0"/>
        <w:adjustRightInd w:val="0"/>
        <w:snapToGrid w:val="0"/>
        <w:spacing w:line="480" w:lineRule="exact"/>
        <w:ind w:firstLine="522" w:firstLineChars="200"/>
        <w:outlineLvl w:val="1"/>
        <w:rPr>
          <w:b/>
          <w:sz w:val="26"/>
          <w:szCs w:val="26"/>
        </w:rPr>
      </w:pPr>
      <w:bookmarkStart w:id="59" w:name="_Toc179298811"/>
      <w:r>
        <w:rPr>
          <w:rFonts w:hint="eastAsia"/>
          <w:b/>
          <w:sz w:val="26"/>
          <w:szCs w:val="26"/>
        </w:rPr>
        <w:t>5.3</w:t>
      </w:r>
      <w:r>
        <w:rPr>
          <w:b/>
          <w:sz w:val="26"/>
          <w:szCs w:val="26"/>
        </w:rPr>
        <w:t>大气环境承载能力</w:t>
      </w:r>
      <w:bookmarkEnd w:id="59"/>
    </w:p>
    <w:p w14:paraId="53902DC6">
      <w:pPr>
        <w:adjustRightInd w:val="0"/>
        <w:snapToGrid w:val="0"/>
        <w:spacing w:line="480" w:lineRule="exact"/>
        <w:ind w:firstLine="520"/>
        <w:rPr>
          <w:sz w:val="26"/>
        </w:rPr>
      </w:pPr>
      <w:r>
        <w:rPr>
          <w:rFonts w:hint="eastAsia"/>
          <w:sz w:val="26"/>
        </w:rPr>
        <w:t>本矿区规划范围内排放的废气主要为瓦斯发电废气</w:t>
      </w:r>
      <w:r>
        <w:rPr>
          <w:sz w:val="26"/>
        </w:rPr>
        <w:t>、</w:t>
      </w:r>
      <w:r>
        <w:rPr>
          <w:rFonts w:hint="eastAsia"/>
          <w:sz w:val="26"/>
        </w:rPr>
        <w:t>洗选厂</w:t>
      </w:r>
      <w:r>
        <w:rPr>
          <w:sz w:val="26"/>
        </w:rPr>
        <w:t>有组织排放粉尘、</w:t>
      </w:r>
      <w:r>
        <w:rPr>
          <w:rFonts w:hint="eastAsia"/>
          <w:sz w:val="26"/>
        </w:rPr>
        <w:t>工业广场无组织排放扬尘，主要污染物为NO</w:t>
      </w:r>
      <w:r>
        <w:rPr>
          <w:sz w:val="26"/>
        </w:rPr>
        <w:t>x、</w:t>
      </w:r>
      <w:r>
        <w:rPr>
          <w:rFonts w:hint="eastAsia"/>
          <w:sz w:val="26"/>
        </w:rPr>
        <w:t>TSP、PM</w:t>
      </w:r>
      <w:r>
        <w:rPr>
          <w:rFonts w:hint="eastAsia"/>
          <w:sz w:val="26"/>
          <w:vertAlign w:val="subscript"/>
        </w:rPr>
        <w:t>10</w:t>
      </w:r>
      <w:r>
        <w:rPr>
          <w:rFonts w:hint="eastAsia"/>
          <w:sz w:val="26"/>
        </w:rPr>
        <w:t>，排放量远低于矿区剩余环境容量，大气环境可承载，能够满足规划范围内的项目建设要求。</w:t>
      </w:r>
    </w:p>
    <w:p w14:paraId="64D88826">
      <w:pPr>
        <w:widowControl/>
        <w:jc w:val="left"/>
        <w:rPr>
          <w:b/>
          <w:sz w:val="26"/>
          <w:szCs w:val="26"/>
        </w:rPr>
      </w:pPr>
      <w:bookmarkStart w:id="60" w:name="_Toc165999708"/>
      <w:bookmarkStart w:id="61" w:name="_Toc89101492"/>
      <w:r>
        <w:rPr>
          <w:b/>
          <w:sz w:val="26"/>
          <w:szCs w:val="26"/>
        </w:rPr>
        <w:br w:type="page"/>
      </w:r>
    </w:p>
    <w:bookmarkEnd w:id="60"/>
    <w:bookmarkEnd w:id="61"/>
    <w:p w14:paraId="097EC34A">
      <w:pPr>
        <w:adjustRightInd w:val="0"/>
        <w:snapToGrid w:val="0"/>
        <w:spacing w:line="480" w:lineRule="exact"/>
        <w:ind w:firstLine="520"/>
        <w:rPr>
          <w:sz w:val="26"/>
        </w:rPr>
        <w:sectPr>
          <w:pgSz w:w="11906" w:h="16838"/>
          <w:pgMar w:top="1701" w:right="1588" w:bottom="1588" w:left="1588" w:header="1020" w:footer="1020" w:gutter="0"/>
          <w:cols w:space="720" w:num="1"/>
          <w:titlePg/>
          <w:docGrid w:type="lines" w:linePitch="312" w:charSpace="0"/>
        </w:sectPr>
      </w:pPr>
    </w:p>
    <w:p w14:paraId="31380E78">
      <w:pPr>
        <w:spacing w:before="156" w:beforeLines="50" w:after="156" w:afterLines="50"/>
        <w:ind w:firstLine="602"/>
        <w:jc w:val="center"/>
        <w:outlineLvl w:val="0"/>
        <w:rPr>
          <w:b/>
          <w:sz w:val="30"/>
          <w:szCs w:val="30"/>
        </w:rPr>
      </w:pPr>
      <w:bookmarkStart w:id="62" w:name="_Toc179298812"/>
      <w:bookmarkStart w:id="63" w:name="_Toc165999711"/>
      <w:bookmarkStart w:id="64" w:name="_Toc89101494"/>
      <w:r>
        <w:rPr>
          <w:rFonts w:hint="eastAsia"/>
          <w:b/>
          <w:sz w:val="30"/>
          <w:szCs w:val="30"/>
        </w:rPr>
        <w:t>6 初步评价结论</w:t>
      </w:r>
      <w:bookmarkEnd w:id="62"/>
      <w:bookmarkEnd w:id="63"/>
      <w:bookmarkEnd w:id="64"/>
    </w:p>
    <w:p w14:paraId="19AA84FD">
      <w:pPr>
        <w:adjustRightInd w:val="0"/>
        <w:snapToGrid w:val="0"/>
        <w:spacing w:line="480" w:lineRule="exact"/>
        <w:ind w:firstLine="520"/>
        <w:rPr>
          <w:sz w:val="26"/>
        </w:rPr>
      </w:pPr>
      <w:r>
        <w:rPr>
          <w:rFonts w:hint="eastAsia"/>
          <w:sz w:val="26"/>
        </w:rPr>
        <w:t>二郎矿区有多年煤矿开采历史，本次修编的贵州省习水县二郎矿区总体规划是矿区内煤矿项目核准、建设、生产的基本依据，采纳环评建议后规划总体符合国家、地方相关法律、法规、政策文件要求，与各项相关规划相协调。</w:t>
      </w:r>
    </w:p>
    <w:p w14:paraId="3C679ACF">
      <w:pPr>
        <w:adjustRightInd w:val="0"/>
        <w:snapToGrid w:val="0"/>
        <w:spacing w:line="480" w:lineRule="exact"/>
        <w:ind w:firstLine="520"/>
        <w:rPr>
          <w:sz w:val="26"/>
        </w:rPr>
      </w:pPr>
      <w:r>
        <w:rPr>
          <w:rFonts w:hint="eastAsia"/>
          <w:sz w:val="26"/>
        </w:rPr>
        <w:t>矿区规划实施后会对环境产生一定影响，主要表现为地表沉陷生态环境、地下水漏失、工业场地无组织粉尘影响等，在认真落实本环评提出的优化调整建议、空间管制、准入条件和各项环境保护措施后，矿区开发带来的不利环境影响能控制在当地环境可承受范围内，使得矿区开发不会改变区域环境功能，实现环境效益、社会效益与经济效益的协调统一，促进地方经济的可持续发展。</w:t>
      </w:r>
    </w:p>
    <w:p w14:paraId="6616DB62">
      <w:pPr>
        <w:adjustRightInd w:val="0"/>
        <w:snapToGrid w:val="0"/>
        <w:spacing w:line="480" w:lineRule="exact"/>
        <w:ind w:firstLine="520"/>
        <w:rPr>
          <w:sz w:val="26"/>
        </w:rPr>
      </w:pPr>
      <w:r>
        <w:rPr>
          <w:rFonts w:hint="eastAsia"/>
          <w:sz w:val="26"/>
        </w:rPr>
        <w:t>从环境保护的角度分析，在采纳环评提出的规划方案优化调整建议、生态环境保护与污染减缓措施、生态环境准入清单后，贵州省习水县二郎矿区总体规划（修编）是可行的。</w:t>
      </w:r>
    </w:p>
    <w:p w14:paraId="062292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556D">
    <w:pPr>
      <w:pBdr>
        <w:top w:val="single" w:color="auto" w:sz="4" w:space="1"/>
      </w:pBdr>
      <w:jc w:val="center"/>
    </w:pPr>
    <w:r>
      <w:rPr>
        <w:rFonts w:hint="eastAsia"/>
        <w:szCs w:val="21"/>
      </w:rPr>
      <w:t xml:space="preserve"> </w:t>
    </w:r>
    <w:r>
      <w:rPr>
        <w:szCs w:val="21"/>
      </w:rPr>
      <w:t xml:space="preserve">             </w:t>
    </w:r>
    <w:r>
      <w:rPr>
        <w:rFonts w:hint="eastAsia"/>
        <w:szCs w:val="21"/>
      </w:rPr>
      <w:t xml:space="preserve">贵州乾辰通达工程咨询有限公司 </w:t>
    </w:r>
    <w:r>
      <w:rPr>
        <w:szCs w:val="21"/>
      </w:rPr>
      <w:t xml:space="preserve">                   </w:t>
    </w:r>
    <w:r>
      <w:rPr>
        <w:rFonts w:hint="eastAsia"/>
        <w:szCs w:val="21"/>
      </w:rPr>
      <w:t>第</w:t>
    </w:r>
    <w:r>
      <w:rPr>
        <w:szCs w:val="21"/>
      </w:rPr>
      <w:fldChar w:fldCharType="begin"/>
    </w:r>
    <w:r>
      <w:rPr>
        <w:szCs w:val="21"/>
      </w:rPr>
      <w:instrText xml:space="preserve">PAGE   \* MERGEFORMAT</w:instrText>
    </w:r>
    <w:r>
      <w:rPr>
        <w:szCs w:val="21"/>
      </w:rPr>
      <w:fldChar w:fldCharType="separate"/>
    </w:r>
    <w:r>
      <w:rPr>
        <w:szCs w:val="21"/>
      </w:rPr>
      <w:t>5</w:t>
    </w:r>
    <w:r>
      <w:rPr>
        <w:szCs w:val="21"/>
      </w:rPr>
      <w:fldChar w:fldCharType="end"/>
    </w:r>
    <w:r>
      <w:rPr>
        <w:rFonts w:hint="eastAsia"/>
        <w:szCs w:val="21"/>
      </w:rPr>
      <w:t>页</w:t>
    </w:r>
  </w:p>
  <w:p w14:paraId="3CC11808">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5A"/>
    <w:rsid w:val="000A60C5"/>
    <w:rsid w:val="000B658B"/>
    <w:rsid w:val="000F29F9"/>
    <w:rsid w:val="0037299E"/>
    <w:rsid w:val="004E145A"/>
    <w:rsid w:val="005F4854"/>
    <w:rsid w:val="00794F76"/>
    <w:rsid w:val="008537B2"/>
    <w:rsid w:val="00A049D7"/>
    <w:rsid w:val="00A9194A"/>
    <w:rsid w:val="00AE57FB"/>
    <w:rsid w:val="00B16297"/>
    <w:rsid w:val="00B838F3"/>
    <w:rsid w:val="00B85F20"/>
    <w:rsid w:val="00BE76DD"/>
    <w:rsid w:val="00D04995"/>
    <w:rsid w:val="00D30C1E"/>
    <w:rsid w:val="00D75F1B"/>
    <w:rsid w:val="00E07A72"/>
    <w:rsid w:val="00F44CDF"/>
    <w:rsid w:val="0A547DFB"/>
    <w:rsid w:val="1C16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14:ligatures w14:val="none"/>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5">
    <w:name w:val="header"/>
    <w:basedOn w:val="1"/>
    <w:link w:val="11"/>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1 字符"/>
    <w:basedOn w:val="9"/>
    <w:link w:val="2"/>
    <w:qFormat/>
    <w:uiPriority w:val="9"/>
    <w:rPr>
      <w:rFonts w:ascii="Times New Roman" w:hAnsi="Times New Roman" w:eastAsia="宋体" w:cs="Times New Roman"/>
      <w:b/>
      <w:bCs/>
      <w:kern w:val="44"/>
      <w:sz w:val="44"/>
      <w:szCs w:val="44"/>
      <w14:ligatures w14:val="none"/>
    </w:rPr>
  </w:style>
  <w:style w:type="paragraph" w:customStyle="1" w:styleId="1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7785-E561-4A41-B4FC-B5F18745A341}">
  <ds:schemaRefs/>
</ds:datastoreItem>
</file>

<file path=docProps/app.xml><?xml version="1.0" encoding="utf-8"?>
<Properties xmlns="http://schemas.openxmlformats.org/officeDocument/2006/extended-properties" xmlns:vt="http://schemas.openxmlformats.org/officeDocument/2006/docPropsVTypes">
  <Template>Normal</Template>
  <Pages>22</Pages>
  <Words>2985</Words>
  <Characters>3269</Characters>
  <Lines>128</Lines>
  <Paragraphs>36</Paragraphs>
  <TotalTime>164</TotalTime>
  <ScaleCrop>false</ScaleCrop>
  <LinksUpToDate>false</LinksUpToDate>
  <CharactersWithSpaces>3317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2024-05-27T13:06:00Z</dcterms:created>
  <dc:creator>德彬 黄</dc:creator>
  <cp:lastModifiedBy>袁灵</cp:lastModifiedBy>
  <cp:lastPrinted>2024-09-14T03:33:00Z</cp:lastPrinted>
  <dcterms:modified xsi:type="dcterms:W3CDTF">2025-04-02T02:57:58Z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BA0A316843054A13BDABBB8C6BD33215</vt:lpwstr>
  </property>
  <property fmtid="{D5CDD505-2E9C-101B-9397-08002B2CF9AE}" pid="4" name="KSOTemplateDocerSaveRecord">
    <vt:lpwstr>eyJoZGlkIjoiODhlOGMwODRmNmYwMjNkNDE0ODUzYTYwOGE2YmE5NDYifQ==</vt:lpwstr>
  </property>
</Properties>
</file>