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auto"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附件2</w:t>
      </w:r>
    </w:p>
    <w:p>
      <w:pPr>
        <w:spacing w:line="360" w:lineRule="auto"/>
        <w:jc w:val="left"/>
        <w:rPr>
          <w:rFonts w:ascii="Times New Roman" w:eastAsia="方正黑体_GBK" w:hAnsi="Times New Roman"/>
          <w:sz w:val="30"/>
          <w:szCs w:val="30"/>
        </w:rPr>
      </w:pPr>
    </w:p>
    <w:p>
      <w:pPr>
        <w:spacing w:line="360" w:lineRule="auto"/>
        <w:jc w:val="center"/>
        <w:rPr>
          <w:rFonts w:ascii="Times New Roman" w:eastAsia="方正小标宋_GBK" w:hAnsi="Times New Roman"/>
          <w:color w:val="000000"/>
          <w:sz w:val="40"/>
          <w:szCs w:val="40"/>
        </w:rPr>
      </w:pPr>
      <w:r>
        <w:rPr>
          <w:rFonts w:ascii="Times New Roman" w:eastAsia="方正小标宋_GBK" w:cs="方正小标宋_GBK" w:hAnsi="Times New Roman" w:hint="eastAsia"/>
          <w:color w:val="000000"/>
          <w:sz w:val="40"/>
          <w:szCs w:val="40"/>
          <w:lang w:eastAsia="zh-CN"/>
        </w:rPr>
        <w:t>贵州省</w:t>
      </w:r>
      <w:r>
        <w:rPr>
          <w:rFonts w:ascii="Times New Roman" w:eastAsia="方正小标宋_GBK" w:cs="方正小标宋_GBK" w:hAnsi="Times New Roman"/>
          <w:color w:val="000000"/>
          <w:sz w:val="40"/>
          <w:szCs w:val="40"/>
        </w:rPr>
        <w:t>202</w:t>
      </w:r>
      <w:r>
        <w:rPr>
          <w:rFonts w:ascii="Times New Roman" w:eastAsia="方正小标宋_GBK" w:cs="方正小标宋_GBK" w:hAnsi="Times New Roman"/>
          <w:color w:val="000000"/>
          <w:sz w:val="40"/>
          <w:szCs w:val="40"/>
          <w:lang w:val="en-US" w:eastAsia="zh-CN"/>
        </w:rPr>
        <w:t>5</w:t>
      </w:r>
      <w:r>
        <w:rPr>
          <w:rFonts w:ascii="Times New Roman" w:eastAsia="方正小标宋_GBK" w:cs="方正小标宋_GBK" w:hAnsi="Times New Roman"/>
          <w:color w:val="000000"/>
          <w:sz w:val="40"/>
          <w:szCs w:val="40"/>
        </w:rPr>
        <w:t>年</w:t>
      </w:r>
      <w:r>
        <w:rPr>
          <w:rFonts w:ascii="Times New Roman" w:eastAsia="方正小标宋_GBK" w:cs="方正小标宋_GBK" w:hAnsi="Times New Roman" w:hint="eastAsia"/>
          <w:color w:val="000000"/>
          <w:sz w:val="40"/>
          <w:szCs w:val="40"/>
          <w:lang w:val="en-US" w:eastAsia="zh-CN"/>
        </w:rPr>
        <w:t>第三</w:t>
      </w:r>
      <w:r>
        <w:rPr>
          <w:rFonts w:ascii="Times New Roman" w:eastAsia="方正小标宋_GBK" w:cs="方正小标宋_GBK" w:hAnsi="Times New Roman"/>
          <w:color w:val="000000"/>
          <w:sz w:val="40"/>
          <w:szCs w:val="40"/>
        </w:rPr>
        <w:t>批</w:t>
      </w:r>
      <w:r>
        <w:rPr>
          <w:rFonts w:ascii="Times New Roman" w:eastAsia="方正小标宋_GBK" w:cs="方正小标宋_GBK" w:hAnsi="Times New Roman" w:hint="eastAsia"/>
          <w:color w:val="000000"/>
          <w:sz w:val="40"/>
          <w:szCs w:val="40"/>
          <w:lang w:val="en-US" w:eastAsia="zh-CN"/>
        </w:rPr>
        <w:t>以工代赈</w:t>
      </w:r>
      <w:r>
        <w:rPr>
          <w:rFonts w:ascii="Times New Roman" w:eastAsia="方正小标宋_GBK" w:hAnsi="Times New Roman"/>
          <w:color w:val="000000"/>
          <w:sz w:val="40"/>
          <w:szCs w:val="40"/>
        </w:rPr>
        <w:t>中央预算内投资计划绩效目标汇总表</w:t>
      </w:r>
      <w:bookmarkStart w:id="0" w:name="_GoBack"/>
      <w:bookmarkEnd w:id="0"/>
    </w:p>
    <w:p>
      <w:pPr>
        <w:jc w:val="center"/>
        <w:rPr>
          <w:rFonts w:ascii="Times New Roman" w:eastAsia="方正楷体_GBK" w:hAnsi="Times New Roman"/>
          <w:color w:val="000000"/>
          <w:sz w:val="30"/>
          <w:szCs w:val="30"/>
        </w:rPr>
      </w:pPr>
      <w:r>
        <w:rPr>
          <w:rFonts w:ascii="Times New Roman" w:eastAsia="方正楷体_GBK" w:hAnsi="Times New Roman"/>
          <w:color w:val="000000"/>
          <w:sz w:val="30"/>
          <w:szCs w:val="30"/>
        </w:rPr>
        <w:t>（202</w:t>
      </w:r>
      <w:r>
        <w:rPr>
          <w:rFonts w:ascii="Times New Roman" w:eastAsia="方正楷体_GBK" w:hAnsi="Times New Roman" w:hint="eastAsia"/>
          <w:color w:val="000000"/>
          <w:sz w:val="30"/>
          <w:szCs w:val="30"/>
          <w:lang w:val="en-US" w:eastAsia="zh-CN"/>
        </w:rPr>
        <w:t>5</w:t>
      </w:r>
      <w:r>
        <w:rPr>
          <w:rFonts w:ascii="Times New Roman" w:eastAsia="方正楷体_GBK" w:hAnsi="Times New Roman"/>
          <w:color w:val="000000"/>
          <w:sz w:val="30"/>
          <w:szCs w:val="30"/>
        </w:rPr>
        <w:t>年度）</w:t>
      </w:r>
    </w:p>
    <w:tbl>
      <w:tblPr>
        <w:tblpPr w:leftFromText="180" w:rightFromText="180" w:vertAnchor="text" w:horzAnchor="page" w:tblpX="1669" w:tblpY="32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99"/>
        <w:gridCol w:w="1564"/>
        <w:gridCol w:w="853"/>
        <w:gridCol w:w="2422"/>
        <w:gridCol w:w="1603"/>
      </w:tblGrid>
      <w:tr>
        <w:trPr>
          <w:trHeight w:hRule="exact" w:val="611"/>
        </w:trPr>
        <w:tc>
          <w:tcPr>
            <w:tcW w:w="4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专项名称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1"/>
                <w:lang w:eastAsia="zh-CN"/>
              </w:rPr>
              <w:t>以工代赈</w:t>
            </w:r>
          </w:p>
        </w:tc>
      </w:tr>
      <w:tr>
        <w:trPr>
          <w:trHeight w:hRule="exact" w:val="611"/>
        </w:trPr>
        <w:tc>
          <w:tcPr>
            <w:tcW w:w="4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下达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地方或单位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1"/>
                <w:lang w:eastAsia="zh-CN"/>
              </w:rPr>
              <w:t>有关县（市、区）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  <w:lang w:val="en-US" w:eastAsia="zh-CN"/>
              </w:rPr>
              <w:t>发展改革局</w:t>
            </w:r>
          </w:p>
        </w:tc>
      </w:tr>
      <w:tr>
        <w:trPr>
          <w:trHeight w:hRule="exact" w:val="611"/>
        </w:trPr>
        <w:tc>
          <w:tcPr>
            <w:tcW w:w="4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本次下达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中央预算内投资（万元）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1"/>
                <w:lang w:val="en-US" w:eastAsia="zh-CN"/>
              </w:rPr>
              <w:t>78821</w:t>
            </w:r>
          </w:p>
        </w:tc>
      </w:tr>
      <w:tr>
        <w:trPr>
          <w:trHeight w:val="20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总体目标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 w:firstLine="420"/>
              <w:textAlignment w:val="auto"/>
              <w:outlineLvl w:val="9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  <w:lang w:val="en-US" w:eastAsia="zh-CN"/>
              </w:rPr>
              <w:t>在锦屏县、江口县、麻江县、榕江县、黎平县、纳雍县、德江县、罗甸县、桐梓县、安龙县、威宁县、赫章县、天柱县、从江县、思南县、晴隆县、绥阳县、余庆县、贞丰县、石阡县、龙里县、普安县、册亨县等62个县（区）实施133个以工代赈项目，支持实施一批产业路、步道、水池、沟渠、河堤、供排水管网、场地硬化等基础设施建设，在确保劳务报酬发放金额占中央投资的总体比例不低于40%的基础上，尽可能进一步提高占比，广泛吸纳相关企业失业人员、返乡农民工、家庭经济困难高校毕业生、未就业退役军人和脱贫人口、防止返贫致贫监测对象等重点群体参与工程建设，实现就地就近就业增收。</w:t>
            </w:r>
          </w:p>
        </w:tc>
      </w:tr>
      <w:tr>
        <w:trPr>
          <w:trHeight w:hRule="exact" w:val="55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绩</w:t>
            </w:r>
          </w:p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效</w:t>
            </w:r>
          </w:p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指</w:t>
            </w:r>
          </w:p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一级指标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二级指标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三级指标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指标值</w:t>
            </w:r>
          </w:p>
        </w:tc>
      </w:tr>
      <w:tr>
        <w:trPr>
          <w:trHeight w:hRule="exact" w:val="5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实施效果指标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产出指标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劳务报酬占中央投资比例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 w:hint="eastAsia"/>
                <w:color w:val="auto"/>
                <w:sz w:val="13"/>
                <w:szCs w:val="13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≥</w:t>
            </w:r>
            <w:r>
              <w:rPr>
                <w:rFonts w:ascii="Times New Roman" w:eastAsia="方正仿宋_GBK" w:hAnsi="Times New Roman"/>
                <w:color w:val="auto"/>
                <w:szCs w:val="21"/>
                <w:lang w:eastAsia="zh-CN"/>
              </w:rPr>
              <w:t>40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%</w:t>
            </w:r>
          </w:p>
        </w:tc>
      </w:tr>
      <w:tr>
        <w:trPr>
          <w:trHeight w:hRule="exact" w:val="5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效益指标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项目区基础设施条件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持续改善</w:t>
            </w:r>
          </w:p>
        </w:tc>
      </w:tr>
      <w:tr>
        <w:trPr>
          <w:trHeight w:hRule="exact" w:val="5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满意度指标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参与工程建设的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务工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群众满意度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≥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90</w:t>
            </w:r>
            <w:r>
              <w:rPr>
                <w:rFonts w:ascii="Times New Roman" w:eastAsia="方正仿宋_GBK" w:hAnsi="Times New Roman"/>
                <w:color w:val="auto"/>
                <w:szCs w:val="21"/>
              </w:rPr>
              <w:t>%</w:t>
            </w:r>
          </w:p>
        </w:tc>
      </w:tr>
      <w:tr>
        <w:trPr>
          <w:trHeight w:hRule="exact" w:val="5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过程管理指标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计划管理指标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投资计划分解（转发）用时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≤20个工作日</w:t>
            </w:r>
          </w:p>
        </w:tc>
      </w:tr>
      <w:tr>
        <w:trPr>
          <w:trHeight w:hRule="exact" w:val="5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“</w:t>
            </w:r>
            <w:r>
              <w:rPr>
                <w:rFonts w:ascii="Times New Roman" w:eastAsia="方正仿宋_GBK" w:hAnsi="Times New Roman"/>
                <w:color w:val="auto"/>
                <w:szCs w:val="21"/>
              </w:rPr>
              <w:t>两个责任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”</w:t>
            </w:r>
            <w:r>
              <w:rPr>
                <w:rFonts w:ascii="Times New Roman" w:eastAsia="方正仿宋_GBK" w:hAnsi="Times New Roman"/>
                <w:color w:val="auto"/>
                <w:szCs w:val="21"/>
              </w:rPr>
              <w:t>按项目落实到位率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100%</w:t>
            </w:r>
          </w:p>
        </w:tc>
      </w:tr>
      <w:tr>
        <w:trPr>
          <w:trHeight w:hRule="exact" w:val="5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资金管理指标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中央预算内投资支付率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≥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95</w:t>
            </w:r>
            <w:r>
              <w:rPr>
                <w:rFonts w:ascii="Times New Roman" w:eastAsia="方正仿宋_GBK" w:hAnsi="Times New Roman"/>
                <w:color w:val="auto"/>
                <w:szCs w:val="21"/>
              </w:rPr>
              <w:t>%</w:t>
            </w:r>
          </w:p>
        </w:tc>
      </w:tr>
      <w:tr>
        <w:trPr>
          <w:trHeight w:hRule="exact" w:val="5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年度计划投资完成率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≥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95</w:t>
            </w:r>
            <w:r>
              <w:rPr>
                <w:rFonts w:ascii="Times New Roman" w:eastAsia="方正仿宋_GBK" w:hAnsi="Times New Roman"/>
                <w:color w:val="auto"/>
                <w:szCs w:val="21"/>
              </w:rPr>
              <w:t>%</w:t>
            </w:r>
          </w:p>
        </w:tc>
      </w:tr>
      <w:tr>
        <w:trPr>
          <w:trHeight w:hRule="exact" w:val="5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项目管理指标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项目开工率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≥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95</w:t>
            </w:r>
            <w:r>
              <w:rPr>
                <w:rFonts w:ascii="Times New Roman" w:eastAsia="方正仿宋_GBK" w:hAnsi="Times New Roman"/>
                <w:color w:val="auto"/>
                <w:szCs w:val="21"/>
              </w:rPr>
              <w:t>%</w:t>
            </w:r>
          </w:p>
        </w:tc>
      </w:tr>
      <w:tr>
        <w:trPr>
          <w:trHeight w:hRule="exact" w:val="5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超规模、超标准、超概算项目比例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rPr>
          <w:trHeight w:hRule="exact" w:val="622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监督检查指标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/>
                <w:color w:val="auto"/>
                <w:szCs w:val="21"/>
              </w:rPr>
              <w:t>审计、督查、巡视等指出问题项目比例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1"/>
                <w:lang w:eastAsia="zh-CN"/>
              </w:rPr>
              <w:t>≤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eastAsia="方正仿宋_GBK" w:hAnsi="Times New Roman" w:hint="eastAsia"/>
                <w:color w:val="auto"/>
                <w:szCs w:val="21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GUwMGVmY2I5Y2Q1OGJjOGM3ZTY0MTFkMDI3OTY5M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1</Pages>
  <Words>560</Words>
  <Characters>590</Characters>
  <Lines>63</Lines>
  <Paragraphs>48</Paragraphs>
  <CharactersWithSpaces>590</CharactersWithSpaces>
  <Company>FGW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ysgz</cp:lastModifiedBy>
  <cp:revision>1</cp:revision>
  <cp:lastPrinted>2025-02-05T03:16:00Z</cp:lastPrinted>
  <dcterms:created xsi:type="dcterms:W3CDTF">2024-11-04T08:14:00Z</dcterms:created>
  <dcterms:modified xsi:type="dcterms:W3CDTF">2025-07-03T03:28:49Z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3B271AD1F934486A8E34A67FE95F8712_13</vt:lpwstr>
  </property>
  <property fmtid="{D5CDD505-2E9C-101B-9397-08002B2CF9AE}" pid="4" name="KSOTemplateDocerSaveRecord">
    <vt:lpwstr>eyJoZGlkIjoiZTAyNDNiMGI0MWJjMDc0MGRmZTQ1YjBhMjBlMDdmZGUifQ==</vt:lpwstr>
  </property>
</Properties>
</file>