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tbl>
      <w:tblPr>
        <w:tblStyle w:val="19"/>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1980"/>
        <w:gridCol w:w="1770"/>
        <w:gridCol w:w="1691"/>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w:t>
            </w:r>
            <w:r>
              <w:rPr>
                <w:rFonts w:hint="default" w:ascii="Times New Roman" w:hAnsi="Times New Roman" w:eastAsia="仿宋_GB2312" w:cs="Times New Roman"/>
                <w:i w:val="0"/>
                <w:iCs w:val="0"/>
                <w:color w:val="000000"/>
                <w:kern w:val="0"/>
                <w:sz w:val="32"/>
                <w:szCs w:val="32"/>
                <w:u w:val="none"/>
                <w:lang w:val="en-US" w:eastAsia="zh-CN" w:bidi="ar"/>
              </w:rPr>
              <w:t>1</w:t>
            </w:r>
          </w:p>
        </w:tc>
        <w:tc>
          <w:tcPr>
            <w:tcW w:w="1980" w:type="dxa"/>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sz w:val="32"/>
                <w:szCs w:val="32"/>
                <w:u w:val="none"/>
              </w:rPr>
            </w:pPr>
          </w:p>
        </w:tc>
        <w:tc>
          <w:tcPr>
            <w:tcW w:w="1770" w:type="dxa"/>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sz w:val="32"/>
                <w:szCs w:val="32"/>
                <w:u w:val="none"/>
              </w:rPr>
            </w:pPr>
          </w:p>
        </w:tc>
        <w:tc>
          <w:tcPr>
            <w:tcW w:w="1691" w:type="dxa"/>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sz w:val="32"/>
                <w:szCs w:val="32"/>
                <w:u w:val="none"/>
              </w:rPr>
            </w:pPr>
          </w:p>
        </w:tc>
        <w:tc>
          <w:tcPr>
            <w:tcW w:w="2354" w:type="dxa"/>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886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习水县二郎酒业年产5000吨酱香型白酒</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32"/>
                <w:szCs w:val="32"/>
                <w:u w:val="none"/>
              </w:rPr>
            </w:pPr>
            <w:r>
              <w:rPr>
                <w:rFonts w:hint="default" w:ascii="Times New Roman" w:hAnsi="Times New Roman" w:eastAsia="方正小标宋简体" w:cs="Times New Roman"/>
                <w:color w:val="000000"/>
                <w:kern w:val="0"/>
                <w:sz w:val="44"/>
                <w:szCs w:val="44"/>
                <w:lang w:val="en-US" w:eastAsia="zh-CN" w:bidi="ar"/>
              </w:rPr>
              <w:t>项目土地征收补偿标准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地类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修正系数</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补偿标准（元/亩）</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青苗补偿（元/亩）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农用地</w:t>
            </w:r>
            <w:r>
              <w:rPr>
                <w:rFonts w:hint="default" w:ascii="Times New Roman" w:hAnsi="Times New Roman" w:eastAsia="仿宋_GB2312" w:cs="Times New Roman"/>
                <w:i w:val="0"/>
                <w:iCs w:val="0"/>
                <w:color w:val="000000"/>
                <w:kern w:val="0"/>
                <w:sz w:val="28"/>
                <w:szCs w:val="28"/>
                <w:u w:val="none"/>
                <w:lang w:val="en-US" w:eastAsia="zh-CN" w:bidi="ar"/>
              </w:rPr>
              <w:br w:type="textWrapping"/>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耕地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36900</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耕地以外的农用地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0.6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22140</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其他用地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建设用地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0.55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20295</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未利用地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0.27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9963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8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备注：征地标准依据《遵义市人民政府关于公布实施征地区片综合地价调整标准的通知》（遵府发〔2023〕12号）文件</w:t>
            </w:r>
            <w:r>
              <w:rPr>
                <w:rFonts w:hint="eastAsia" w:ascii="Times New Roman" w:hAnsi="Times New Roman" w:eastAsia="仿宋_GB2312" w:cs="Times New Roman"/>
                <w:i w:val="0"/>
                <w:iCs w:val="0"/>
                <w:color w:val="000000"/>
                <w:kern w:val="0"/>
                <w:sz w:val="28"/>
                <w:szCs w:val="28"/>
                <w:u w:val="none"/>
                <w:lang w:val="en-US" w:eastAsia="zh-CN" w:bidi="ar"/>
              </w:rPr>
              <w:t>。</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tbl>
      <w:tblPr>
        <w:tblStyle w:val="19"/>
        <w:tblW w:w="8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10"/>
        <w:gridCol w:w="2040"/>
        <w:gridCol w:w="1395"/>
        <w:gridCol w:w="1096"/>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243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w:t>
            </w:r>
            <w:r>
              <w:rPr>
                <w:rFonts w:hint="eastAsia" w:ascii="Times New Roman" w:hAnsi="Times New Roman" w:eastAsia="仿宋_GB2312" w:cs="Times New Roman"/>
                <w:i w:val="0"/>
                <w:iCs w:val="0"/>
                <w:color w:val="000000"/>
                <w:kern w:val="0"/>
                <w:sz w:val="32"/>
                <w:szCs w:val="32"/>
                <w:u w:val="none"/>
                <w:lang w:val="en-US" w:eastAsia="zh-CN" w:bidi="ar"/>
              </w:rPr>
              <w:t>2</w:t>
            </w:r>
          </w:p>
        </w:tc>
        <w:tc>
          <w:tcPr>
            <w:tcW w:w="20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000000"/>
                <w:sz w:val="32"/>
                <w:szCs w:val="32"/>
                <w:u w:val="none"/>
              </w:rPr>
            </w:pPr>
          </w:p>
        </w:tc>
        <w:tc>
          <w:tcPr>
            <w:tcW w:w="1395"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000000"/>
                <w:sz w:val="32"/>
                <w:szCs w:val="32"/>
                <w:u w:val="none"/>
              </w:rPr>
            </w:pPr>
          </w:p>
        </w:tc>
        <w:tc>
          <w:tcPr>
            <w:tcW w:w="109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000000"/>
                <w:sz w:val="32"/>
                <w:szCs w:val="32"/>
                <w:u w:val="none"/>
              </w:rPr>
            </w:pPr>
          </w:p>
        </w:tc>
        <w:tc>
          <w:tcPr>
            <w:tcW w:w="187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8833"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简体" w:cs="Times New Roman"/>
                <w:color w:val="000000"/>
                <w:kern w:val="0"/>
                <w:sz w:val="44"/>
                <w:szCs w:val="44"/>
                <w:lang w:val="en-US" w:eastAsia="zh-CN" w:bidi="ar"/>
              </w:rPr>
            </w:pPr>
            <w:r>
              <w:rPr>
                <w:rFonts w:hint="eastAsia" w:ascii="Times New Roman" w:hAnsi="Times New Roman" w:eastAsia="方正小标宋简体" w:cs="Times New Roman"/>
                <w:color w:val="000000"/>
                <w:kern w:val="0"/>
                <w:sz w:val="44"/>
                <w:szCs w:val="44"/>
                <w:lang w:val="en-US" w:eastAsia="zh-CN" w:bidi="ar"/>
              </w:rPr>
              <w:t>习水县二郎酒业年产5000吨酱香型白酒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Times New Roman" w:hAnsi="Times New Roman" w:eastAsia="方正小标宋简体" w:cs="Times New Roman"/>
                <w:color w:val="000000"/>
                <w:kern w:val="0"/>
                <w:sz w:val="44"/>
                <w:szCs w:val="44"/>
                <w:lang w:val="en-US" w:eastAsia="zh-CN" w:bidi="ar"/>
              </w:rPr>
              <w:t>项目零星经济林木补偿标准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lang w:eastAsia="zh-CN"/>
              </w:rPr>
            </w:pPr>
            <w:r>
              <w:rPr>
                <w:rFonts w:hint="default" w:ascii="Times New Roman" w:hAnsi="Times New Roman" w:eastAsia="仿宋_GB2312" w:cs="Times New Roman"/>
                <w:b/>
                <w:bCs/>
                <w:i w:val="0"/>
                <w:iCs w:val="0"/>
                <w:color w:val="000000"/>
                <w:sz w:val="24"/>
                <w:szCs w:val="24"/>
                <w:u w:val="none"/>
                <w:lang w:eastAsia="zh-CN"/>
              </w:rPr>
              <w:t>种类</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000000"/>
                <w:sz w:val="24"/>
                <w:szCs w:val="24"/>
                <w:u w:val="none"/>
                <w:lang w:eastAsia="zh-CN"/>
              </w:rPr>
            </w:pPr>
            <w:r>
              <w:rPr>
                <w:rFonts w:hint="default" w:ascii="Times New Roman" w:hAnsi="Times New Roman" w:eastAsia="仿宋_GB2312" w:cs="Times New Roman"/>
                <w:b/>
                <w:bCs/>
                <w:i w:val="0"/>
                <w:iCs w:val="0"/>
                <w:color w:val="000000"/>
                <w:sz w:val="24"/>
                <w:szCs w:val="24"/>
                <w:u w:val="none"/>
                <w:lang w:eastAsia="zh-CN"/>
              </w:rPr>
              <w:t>规格</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计量单位</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补偿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标准</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李、枣、拐枣、柿子</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苹果、 花红、杏、石榴</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核桃、板栗、樱桃、梨、 桃、桑葚、佳宝果等</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裸根苗定植后一个生产年，每亩超过143株按照143株计算。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盛产期（胸径 16cm以下）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胸径16-25cm（含 25cm）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胸径&gt;25cm元/株</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一般柑、橘、橙、柚类（沙田柚、红心蜜柚除外）</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容器苗，每亩超过125株按照125株计算。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沙田柚、</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红心蜜柚</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杨梅、枇</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杷等（指</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引进或嫁</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接的优良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品种）</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裸根苗定植后一个生产年，每亩超过250株按照250株计算。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胸径16-25cm、冠幅&gt;10m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胸径&gt;26cm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猕猴桃</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裸根苗定植后一个生产年，每亩超过500株按照500株计算。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花椒、油</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桐、油茶、</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无花果、</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漆树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裸根苗定植后一个生产年，每亩超过200株按照200株计算。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杜仲、黄</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柏、厚朴、</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椿树、银</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杏等</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胸径2cm 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人工栽植的予以补偿，天然次生、萌生、丛生的不予补偿，每亩超过400株按照400株计算。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胸径2-4cm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胸径4-6cm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胸径6-12cm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胸径12-20cm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茶树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指单株茶树，丛生的一丛以一株算，每亩超过2667株按照2667株计算。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成长期（6cm以下）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20-26cm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棕树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主干高50㎝以下（含50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主干高30㎝以下棕树苗不予补偿。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主干高50-100㎝（含100㎝）</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主干高100㎝以上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麻竹、楠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竹、金竹、撑绿竹等</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胸径5-7cm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胸径7cm以上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香蕉、芭</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蕉</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成长期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成熟期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桂圆、</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荔枝</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胸径4-8cm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胸径9-10cm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胸径11-12cm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胸径12-20cm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榕树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 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紫柏</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金丝楠木</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按单株，丛生的一丛以一株算，每亩超过168棵按照168棵计算。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金弹子</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 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按单株，丛生的一丛以一株算，每亩超过260棵按照260棵计算。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铁树</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直径5cm以下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直径6-10cm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直径10cm以上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黄杨</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冠幅&lt;40cm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冠幅41-50cm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冠幅51-80cm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冠幅81-150cm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冠幅&gt;151cm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紫荆</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高30cm以下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高31-99cm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高100-150cm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高151cm以上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桂花、三</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角梅</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胸径3cm以下</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每亩超过143 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胸径3-5cm（不含 5cm）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胸径5-7cm（不含 7cm）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胸径7-9cm（不含 9cm）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胸径9-11cm（不含11cm）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胸径11cm以上</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黄金柠檬</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月季</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冠幅＜30cm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冠幅30-50cm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冠幅51-80cm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冠幅81-100cm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冠幅101-150cm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冠幅151-200cm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冠幅＞201cm</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甘蔗</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成苗期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分蘖期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伸长期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成熟期</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苗圃、花卉</w:t>
            </w:r>
          </w:p>
        </w:tc>
        <w:tc>
          <w:tcPr>
            <w:tcW w:w="45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5cm以下的，以上一年度同树木同规格苗木市场平均销售价乘以株数予以补偿，5cm以上的树木参照评估价值予以补偿。</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8833" w:type="dxa"/>
            <w:gridSpan w:val="6"/>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说明：</w:t>
            </w:r>
            <w:r>
              <w:rPr>
                <w:rFonts w:hint="default" w:ascii="Times New Roman" w:hAnsi="Times New Roman" w:eastAsia="仿宋_GB2312" w:cs="Times New Roman"/>
                <w:b w:val="0"/>
                <w:bCs w:val="0"/>
                <w:i w:val="0"/>
                <w:iCs w:val="0"/>
                <w:color w:val="000000"/>
                <w:kern w:val="0"/>
                <w:sz w:val="32"/>
                <w:szCs w:val="32"/>
                <w:u w:val="none"/>
                <w:lang w:val="en-US" w:eastAsia="zh-CN" w:bidi="ar"/>
              </w:rPr>
              <w:t>1.苗期：裸根苗定植后一个生产年。2.成片经济林木苗株数必须达到初植密度的85%以上，超过初植密度的，按照成片经济林计算，不能按株数计算。3.胸径5cm以下的天然次生林木不予补偿。</w:t>
            </w:r>
          </w:p>
        </w:tc>
      </w:tr>
    </w:tbl>
    <w:p>
      <w:pPr>
        <w:jc w:val="both"/>
        <w:rPr>
          <w:rFonts w:hint="eastAsia" w:ascii="仿宋_GB2312" w:hAnsi="仿宋_GB2312" w:eastAsia="仿宋_GB2312" w:cs="仿宋_GB2312"/>
          <w:sz w:val="32"/>
          <w:szCs w:val="32"/>
        </w:rPr>
      </w:pPr>
    </w:p>
    <w:p>
      <w:pPr>
        <w:keepNext w:val="0"/>
        <w:keepLines w:val="0"/>
        <w:widowControl/>
        <w:suppressLineNumbers w:val="0"/>
        <w:jc w:val="both"/>
        <w:textAlignment w:val="top"/>
        <w:rPr>
          <w:rFonts w:hint="eastAsia" w:ascii="仿宋_GB2312" w:hAnsi="仿宋_GB2312" w:eastAsia="仿宋_GB2312" w:cs="仿宋_GB2312"/>
          <w:i w:val="0"/>
          <w:iCs w:val="0"/>
          <w:color w:val="000000"/>
          <w:kern w:val="0"/>
          <w:sz w:val="32"/>
          <w:szCs w:val="32"/>
          <w:u w:val="none"/>
          <w:lang w:val="en-US" w:eastAsia="zh-CN" w:bidi="ar"/>
        </w:rPr>
      </w:pPr>
    </w:p>
    <w:tbl>
      <w:tblPr>
        <w:tblStyle w:val="19"/>
        <w:tblW w:w="8809"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427"/>
        <w:gridCol w:w="5"/>
        <w:gridCol w:w="1423"/>
        <w:gridCol w:w="1078"/>
        <w:gridCol w:w="1131"/>
        <w:gridCol w:w="3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09" w:type="dxa"/>
            <w:gridSpan w:val="7"/>
            <w:tcBorders>
              <w:top w:val="nil"/>
              <w:left w:val="nil"/>
              <w:bottom w:val="nil"/>
              <w:right w:val="nil"/>
            </w:tcBorders>
            <w:shd w:val="clear" w:color="auto" w:fill="auto"/>
            <w:noWrap/>
            <w:vAlign w:val="top"/>
          </w:tcPr>
          <w:p>
            <w:pPr>
              <w:keepNext w:val="0"/>
              <w:keepLines w:val="0"/>
              <w:widowControl/>
              <w:suppressLineNumbers w:val="0"/>
              <w:jc w:val="both"/>
              <w:textAlignment w:val="top"/>
              <w:rPr>
                <w:rFonts w:hint="eastAsia" w:ascii="仿宋_GB2312" w:hAnsi="仿宋_GB2312" w:eastAsia="仿宋_GB2312" w:cs="仿宋_GB2312"/>
                <w:i w:val="0"/>
                <w:iCs w:val="0"/>
                <w:color w:val="000000"/>
                <w:sz w:val="21"/>
                <w:szCs w:val="21"/>
                <w:u w:val="none"/>
              </w:rPr>
            </w:pPr>
            <w:r>
              <w:rPr>
                <w:rFonts w:hint="eastAsia" w:ascii="黑体" w:hAnsi="黑体" w:eastAsia="黑体" w:cs="黑体"/>
                <w:i w:val="0"/>
                <w:iCs w:val="0"/>
                <w:color w:val="000000"/>
                <w:kern w:val="0"/>
                <w:sz w:val="32"/>
                <w:szCs w:val="32"/>
                <w:u w:val="none"/>
                <w:lang w:val="en-US" w:eastAsia="zh-CN" w:bidi="ar"/>
              </w:rPr>
              <w:t>附件</w:t>
            </w:r>
            <w:r>
              <w:rPr>
                <w:rFonts w:hint="eastAsia" w:ascii="Times New Roman" w:hAnsi="Times New Roman" w:eastAsia="仿宋_GB2312" w:cs="Times New Roman"/>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8809" w:type="dxa"/>
            <w:gridSpan w:val="7"/>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习水县二郎酒业年产5000吨酱香型白酒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方正小标宋简体" w:cs="Times New Roman"/>
                <w:i w:val="0"/>
                <w:iCs w:val="0"/>
                <w:color w:val="000000"/>
                <w:kern w:val="0"/>
                <w:sz w:val="44"/>
                <w:szCs w:val="44"/>
                <w:u w:val="none"/>
                <w:lang w:val="en-US" w:eastAsia="zh-CN" w:bidi="ar"/>
              </w:rPr>
              <w:t>项目成片经济林木补偿标准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Times New Roman" w:hAnsi="Times New Roman" w:eastAsia="仿宋_GB2312" w:cs="Times New Roman"/>
                <w:b/>
                <w:bCs/>
                <w:i w:val="0"/>
                <w:iCs w:val="0"/>
                <w:color w:val="000000"/>
                <w:kern w:val="0"/>
                <w:sz w:val="24"/>
                <w:szCs w:val="24"/>
                <w:u w:val="none"/>
                <w:lang w:val="en-US" w:eastAsia="zh-CN" w:bidi="ar"/>
              </w:rPr>
              <w:t>种类</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规格</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补偿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标准</w:t>
            </w:r>
          </w:p>
        </w:tc>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32"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板栗</w:t>
            </w:r>
          </w:p>
        </w:tc>
        <w:tc>
          <w:tcPr>
            <w:tcW w:w="14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0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30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核桃</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苹果、梨、桃、花红、</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杏、拐枣、石榴、李、</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柿子、樱桃</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柑、桔、</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橙、柚类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杨梅、</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枇杷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猕猴桃</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麻竹、南竹、金竹、</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撑绿竹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水竹、杂</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太子参</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栽植1-2年</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三年以上的不做任何补偿，自行处理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百香果</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火龙果</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凤梨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草莓</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生长期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挂果期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规模饲草</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（5亩以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上）</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用材林</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幼林、灌木林</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高度6米及以下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乔木林</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高度6米以上</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tbl>
      <w:tblPr>
        <w:tblStyle w:val="19"/>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2970"/>
        <w:gridCol w:w="1185"/>
        <w:gridCol w:w="126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0"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w:t>
            </w:r>
            <w:r>
              <w:rPr>
                <w:rFonts w:hint="eastAsia" w:ascii="Times New Roman" w:hAnsi="Times New Roman" w:eastAsia="仿宋_GB2312" w:cs="Times New Roman"/>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891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default" w:ascii="Times New Roman" w:hAnsi="Times New Roman" w:eastAsia="方正小标宋简体" w:cs="Times New Roman"/>
                <w:i w:val="0"/>
                <w:iCs w:val="0"/>
                <w:color w:val="000000"/>
                <w:kern w:val="0"/>
                <w:sz w:val="44"/>
                <w:szCs w:val="44"/>
                <w:u w:val="none"/>
                <w:lang w:val="en-US" w:eastAsia="zh-CN" w:bidi="ar"/>
              </w:rPr>
              <w:t>习水县二郎酒业年产5000吨酱香型白酒项目地上附</w:t>
            </w:r>
            <w:r>
              <w:rPr>
                <w:rFonts w:hint="eastAsia" w:ascii="Times New Roman" w:hAnsi="Times New Roman" w:eastAsia="方正小标宋简体" w:cs="Times New Roman"/>
                <w:i w:val="0"/>
                <w:iCs w:val="0"/>
                <w:color w:val="000000"/>
                <w:kern w:val="0"/>
                <w:sz w:val="44"/>
                <w:szCs w:val="44"/>
                <w:u w:val="none"/>
                <w:lang w:val="en-US" w:eastAsia="zh-CN" w:bidi="ar"/>
              </w:rPr>
              <w:t>着</w:t>
            </w:r>
            <w:r>
              <w:rPr>
                <w:rFonts w:hint="default" w:ascii="Times New Roman" w:hAnsi="Times New Roman" w:eastAsia="方正小标宋简体" w:cs="Times New Roman"/>
                <w:i w:val="0"/>
                <w:iCs w:val="0"/>
                <w:color w:val="000000"/>
                <w:kern w:val="0"/>
                <w:sz w:val="44"/>
                <w:szCs w:val="44"/>
                <w:u w:val="none"/>
                <w:lang w:val="en-US" w:eastAsia="zh-CN" w:bidi="ar"/>
              </w:rPr>
              <w:t>物补偿标准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类别</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围墙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实心砖围墙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含粉糊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浆砌石围墙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空心砖砌围墙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片石干砌围墙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简易土质围墙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铁艺围墙栏杆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围墙基础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堡坎</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浆砌石堡坎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干砌石堡坎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混凝土堡坎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毛石混凝土堡坎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w:t>
            </w:r>
            <w:r>
              <w:rPr>
                <w:rFonts w:hint="eastAsia" w:ascii="Times New Roman" w:hAnsi="Times New Roman" w:eastAsia="仿宋_GB2312" w:cs="Times New Roman"/>
                <w:i w:val="0"/>
                <w:iCs w:val="0"/>
                <w:color w:val="000000"/>
                <w:kern w:val="0"/>
                <w:sz w:val="24"/>
                <w:szCs w:val="24"/>
                <w:u w:val="none"/>
                <w:lang w:val="en-US" w:eastAsia="zh-CN" w:bidi="ar"/>
              </w:rPr>
              <w:t>勾</w:t>
            </w:r>
            <w:r>
              <w:rPr>
                <w:rFonts w:hint="default" w:ascii="Times New Roman" w:hAnsi="Times New Roman" w:eastAsia="仿宋_GB2312" w:cs="Times New Roman"/>
                <w:i w:val="0"/>
                <w:iCs w:val="0"/>
                <w:color w:val="000000"/>
                <w:kern w:val="0"/>
                <w:sz w:val="24"/>
                <w:szCs w:val="24"/>
                <w:u w:val="none"/>
                <w:lang w:val="en-US" w:eastAsia="zh-CN" w:bidi="ar"/>
              </w:rPr>
              <w:t>平缝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w:t>
            </w:r>
            <w:r>
              <w:rPr>
                <w:rFonts w:hint="eastAsia" w:ascii="Times New Roman" w:hAnsi="Times New Roman" w:eastAsia="仿宋_GB2312" w:cs="Times New Roman"/>
                <w:i w:val="0"/>
                <w:iCs w:val="0"/>
                <w:color w:val="000000"/>
                <w:kern w:val="0"/>
                <w:sz w:val="24"/>
                <w:szCs w:val="24"/>
                <w:u w:val="none"/>
                <w:lang w:val="en-US" w:eastAsia="zh-CN" w:bidi="ar"/>
              </w:rPr>
              <w:t>勾</w:t>
            </w:r>
            <w:r>
              <w:rPr>
                <w:rFonts w:hint="default" w:ascii="Times New Roman" w:hAnsi="Times New Roman" w:eastAsia="仿宋_GB2312" w:cs="Times New Roman"/>
                <w:i w:val="0"/>
                <w:iCs w:val="0"/>
                <w:color w:val="000000"/>
                <w:kern w:val="0"/>
                <w:sz w:val="24"/>
                <w:szCs w:val="24"/>
                <w:u w:val="none"/>
                <w:lang w:val="en-US" w:eastAsia="zh-CN" w:bidi="ar"/>
              </w:rPr>
              <w:t>凸缝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晒坝</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混凝土晒坝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石晒坝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简易水泥、三合土、碎石地坪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贴砖花池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水泥清光花池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坝子栏杆（贴砖、罗马柱）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高度1.2米以上按围墙计算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坝子栏杆（砖、石砌粉糊清光）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坝子栏杆（砖、石砌未粉糊）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拦水线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50cm以下（不含 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沼气池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以容积计算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水池、水窖、粪池、鱼塘、水井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按混凝土实际方量计算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砖石浆砌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按砖石浆砌实际方量计算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混凝土盖</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按混凝土盖面积计算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水池水管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鱼塘水泥踩底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鱼塘堤干按堡坎计算；产值补偿根据实际情况补偿，但不得超出耕地年产值的 3倍。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人工水井（深度2米以内）人工费补偿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每超深1米，按250 元/米据实增加；水源不进行补偿</w:t>
            </w:r>
            <w:r>
              <w:rPr>
                <w:rFonts w:hint="eastAsia" w:ascii="Times New Roman" w:hAnsi="Times New Roman" w:eastAsia="仿宋_GB2312"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按机井深度计算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人饮水池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畜圈、厕所、煤房、烤烟烘房等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框架、砖混结构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砖木结构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土木结构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土瓦窑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按窑洞体积计算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棚子</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简易棚、木结构棚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钢架彩钢棚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砖结构棚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金属结构棚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硬化道路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人行道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机耕道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沟渠</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混凝土沟渠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按砌体实际方量计算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蔬菜大棚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高度不足2米的，按补偿标准减少30%。棚内安装滴灌系统的，另增加6元/㎡。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竹篾结构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雨棚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不锈钢铝合金钢化玻璃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雨阳棚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塑料阳光棚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木电杆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水泥电杆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8米以上每增加1米加50元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太阳能电杆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含杆上太阳能灯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棺材搬迁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蜂桶搬迁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道路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柏油路面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tbl>
      <w:tblPr>
        <w:tblStyle w:val="19"/>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05"/>
        <w:gridCol w:w="1425"/>
        <w:gridCol w:w="1320"/>
        <w:gridCol w:w="105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0"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w:t>
            </w:r>
            <w:r>
              <w:rPr>
                <w:rFonts w:hint="eastAsia" w:ascii="Times New Roman" w:hAnsi="Times New Roman" w:eastAsia="仿宋_GB2312" w:cs="Times New Roman"/>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886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习水县二郎酒业年产5000吨酱香型白酒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default" w:ascii="Times New Roman" w:hAnsi="Times New Roman" w:eastAsia="方正小标宋简体" w:cs="Times New Roman"/>
                <w:i w:val="0"/>
                <w:iCs w:val="0"/>
                <w:color w:val="000000"/>
                <w:kern w:val="0"/>
                <w:sz w:val="44"/>
                <w:szCs w:val="44"/>
                <w:u w:val="none"/>
                <w:lang w:val="en-US" w:eastAsia="zh-CN" w:bidi="ar"/>
              </w:rPr>
              <w:t>项目坟墓搬迁补偿标准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计量单位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补偿标准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奖励</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标准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坟墓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料石坟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在协议规定时间内搬迁的享受上述奖励政策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砌石、土石坟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土、乱石坟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w:t>
            </w: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坟碑（单碑）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坟碑帽（连体）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附属设施及其它建构筑物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浆砌石围墙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片石干砌围墙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围墙基础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浆砌石堡坎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干砌石堡坎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毛石混凝土堡坎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混凝土堡坎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混凝土坟坝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栏杆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浆砌石基础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注：</w:t>
            </w:r>
            <w:r>
              <w:rPr>
                <w:rFonts w:hint="default" w:ascii="Times New Roman" w:hAnsi="Times New Roman" w:eastAsia="仿宋_GB2312" w:cs="Times New Roman"/>
                <w:i w:val="0"/>
                <w:iCs w:val="0"/>
                <w:color w:val="000000"/>
                <w:kern w:val="0"/>
                <w:sz w:val="24"/>
                <w:szCs w:val="24"/>
                <w:u w:val="none"/>
                <w:lang w:val="en-US" w:eastAsia="zh-CN" w:bidi="ar"/>
              </w:rPr>
              <w:t>坟墓占地补偿按照坟墓实际占用土地地类的补偿标准执行（无青苗补偿费）。</w:t>
            </w:r>
          </w:p>
        </w:tc>
      </w:tr>
    </w:tbl>
    <w:p>
      <w:pPr>
        <w:pStyle w:val="2"/>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53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4930775</wp:posOffset>
              </wp:positionH>
              <wp:positionV relativeFrom="paragraph">
                <wp:posOffset>-23495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5pt;margin-top:-1.85pt;height:144pt;width:144pt;mso-position-horizontal-relative:margin;mso-wrap-style:none;z-index:251659264;mso-width-relative:page;mso-height-relative:page;" filled="f" stroked="f" coordsize="21600,21600" o:gfxdata="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IL4v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-23495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pt;margin-top:-1.85pt;height:144pt;width:144pt;mso-position-horizontal-relative:margin;mso-wrap-style:none;z-index:251660288;mso-width-relative:page;mso-height-relative:page;" filled="f" stroked="f" coordsize="21600,21600" o:gfxdata="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AXvjNYAAAAI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mQ5OWFlNDlkMzRmOTJhNTQxNWQzZGQ0ZWNlMzI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0F9FF8B1"/>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87A7E26"/>
    <w:rsid w:val="387F2C5B"/>
    <w:rsid w:val="38AD5ED1"/>
    <w:rsid w:val="39A4587C"/>
    <w:rsid w:val="3A9110D2"/>
    <w:rsid w:val="3ABF79F7"/>
    <w:rsid w:val="3ACF6058"/>
    <w:rsid w:val="3B837531"/>
    <w:rsid w:val="3BE00E6C"/>
    <w:rsid w:val="3CF220B5"/>
    <w:rsid w:val="3CFA33E8"/>
    <w:rsid w:val="3CFE7FD1"/>
    <w:rsid w:val="3D4E773E"/>
    <w:rsid w:val="3D880F9F"/>
    <w:rsid w:val="3DA6C427"/>
    <w:rsid w:val="3DCA5575"/>
    <w:rsid w:val="3E0B0106"/>
    <w:rsid w:val="3F3DD0B3"/>
    <w:rsid w:val="3FA75389"/>
    <w:rsid w:val="3FAE5EF7"/>
    <w:rsid w:val="3FEF5DD6"/>
    <w:rsid w:val="3FF6575A"/>
    <w:rsid w:val="3FFB7DE9"/>
    <w:rsid w:val="3FFFBCFB"/>
    <w:rsid w:val="40871FA0"/>
    <w:rsid w:val="40F935F0"/>
    <w:rsid w:val="432C1904"/>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CDF0112"/>
    <w:rsid w:val="5D045FC9"/>
    <w:rsid w:val="5D5D3FA4"/>
    <w:rsid w:val="5D6E1B81"/>
    <w:rsid w:val="5D9D24FE"/>
    <w:rsid w:val="5DB18B0A"/>
    <w:rsid w:val="5DBE2A84"/>
    <w:rsid w:val="5DBF40EF"/>
    <w:rsid w:val="5DDDD12E"/>
    <w:rsid w:val="5DF247B5"/>
    <w:rsid w:val="5DF7043F"/>
    <w:rsid w:val="5DF7AB09"/>
    <w:rsid w:val="5EBFE272"/>
    <w:rsid w:val="5F5F104B"/>
    <w:rsid w:val="5F86218F"/>
    <w:rsid w:val="5FC3CC4B"/>
    <w:rsid w:val="5FD18AEC"/>
    <w:rsid w:val="5FF70733"/>
    <w:rsid w:val="5FFEEE94"/>
    <w:rsid w:val="5FFF8E68"/>
    <w:rsid w:val="61526095"/>
    <w:rsid w:val="62393E6D"/>
    <w:rsid w:val="62F82F85"/>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7FDFA51"/>
    <w:rsid w:val="6835740F"/>
    <w:rsid w:val="68FA278B"/>
    <w:rsid w:val="69261D63"/>
    <w:rsid w:val="6A17352C"/>
    <w:rsid w:val="6AA83B3E"/>
    <w:rsid w:val="6B3D3591"/>
    <w:rsid w:val="6B572182"/>
    <w:rsid w:val="6B5FBFE1"/>
    <w:rsid w:val="6BBD775B"/>
    <w:rsid w:val="6BD560BC"/>
    <w:rsid w:val="6BDC35D8"/>
    <w:rsid w:val="6BDD74A5"/>
    <w:rsid w:val="6BFB16F7"/>
    <w:rsid w:val="6BFE8219"/>
    <w:rsid w:val="6CDBAF44"/>
    <w:rsid w:val="6D4E2D68"/>
    <w:rsid w:val="6D6A0F4B"/>
    <w:rsid w:val="6D753A6E"/>
    <w:rsid w:val="6DD3509F"/>
    <w:rsid w:val="6DE949CA"/>
    <w:rsid w:val="6EB7D193"/>
    <w:rsid w:val="6ED3189B"/>
    <w:rsid w:val="6EED2FA8"/>
    <w:rsid w:val="6F0C6F46"/>
    <w:rsid w:val="6F4E0906"/>
    <w:rsid w:val="6F67DEB5"/>
    <w:rsid w:val="6F7F617D"/>
    <w:rsid w:val="6F9BF3CB"/>
    <w:rsid w:val="6FA312D6"/>
    <w:rsid w:val="6FC7ECED"/>
    <w:rsid w:val="6FD6CC34"/>
    <w:rsid w:val="70D4CFDE"/>
    <w:rsid w:val="7190594B"/>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AF5611"/>
    <w:rsid w:val="77EB7B44"/>
    <w:rsid w:val="77F98592"/>
    <w:rsid w:val="77FF9C1A"/>
    <w:rsid w:val="782B210E"/>
    <w:rsid w:val="7857D964"/>
    <w:rsid w:val="78882919"/>
    <w:rsid w:val="78DF73BF"/>
    <w:rsid w:val="7A8E3CEB"/>
    <w:rsid w:val="7AAF918D"/>
    <w:rsid w:val="7ABF8590"/>
    <w:rsid w:val="7AF3A6F0"/>
    <w:rsid w:val="7AFB642F"/>
    <w:rsid w:val="7B2F5EB3"/>
    <w:rsid w:val="7B381A2A"/>
    <w:rsid w:val="7B7F06AD"/>
    <w:rsid w:val="7B840239"/>
    <w:rsid w:val="7B9FEA03"/>
    <w:rsid w:val="7BAD0535"/>
    <w:rsid w:val="7BB9BD1C"/>
    <w:rsid w:val="7BBC6CC2"/>
    <w:rsid w:val="7BC174C3"/>
    <w:rsid w:val="7BE46CFC"/>
    <w:rsid w:val="7BF7B391"/>
    <w:rsid w:val="7BF7CA6F"/>
    <w:rsid w:val="7BFB165A"/>
    <w:rsid w:val="7BFBB8F0"/>
    <w:rsid w:val="7BFD613B"/>
    <w:rsid w:val="7C2F15FF"/>
    <w:rsid w:val="7C8B1AB5"/>
    <w:rsid w:val="7D357A2E"/>
    <w:rsid w:val="7D5F9F50"/>
    <w:rsid w:val="7DC7A6D4"/>
    <w:rsid w:val="7DEDC227"/>
    <w:rsid w:val="7DF9ADBB"/>
    <w:rsid w:val="7E39BF4D"/>
    <w:rsid w:val="7EBF3F96"/>
    <w:rsid w:val="7EEA7231"/>
    <w:rsid w:val="7EEFDD3A"/>
    <w:rsid w:val="7EFBD11B"/>
    <w:rsid w:val="7EFD7E38"/>
    <w:rsid w:val="7F1B57FF"/>
    <w:rsid w:val="7F376230"/>
    <w:rsid w:val="7F5D5DBD"/>
    <w:rsid w:val="7F77A2D7"/>
    <w:rsid w:val="7F7ABB73"/>
    <w:rsid w:val="7F874417"/>
    <w:rsid w:val="7F8DDD2F"/>
    <w:rsid w:val="7FAFBE64"/>
    <w:rsid w:val="7FBC3312"/>
    <w:rsid w:val="7FBD1B9B"/>
    <w:rsid w:val="7FC9A48D"/>
    <w:rsid w:val="7FD6C575"/>
    <w:rsid w:val="7FD77964"/>
    <w:rsid w:val="7FDC5D31"/>
    <w:rsid w:val="7FDF6A2D"/>
    <w:rsid w:val="7FDFD79D"/>
    <w:rsid w:val="7FEE55D0"/>
    <w:rsid w:val="7FF9EA0F"/>
    <w:rsid w:val="7FFB50EC"/>
    <w:rsid w:val="7FFBF53C"/>
    <w:rsid w:val="7FFED680"/>
    <w:rsid w:val="7FFF1AEF"/>
    <w:rsid w:val="7FFF468A"/>
    <w:rsid w:val="7FFFB617"/>
    <w:rsid w:val="7FFFDF2D"/>
    <w:rsid w:val="84BF4A1D"/>
    <w:rsid w:val="8A8F526A"/>
    <w:rsid w:val="8CAC4018"/>
    <w:rsid w:val="95EB3869"/>
    <w:rsid w:val="9776273F"/>
    <w:rsid w:val="979E3101"/>
    <w:rsid w:val="9BB54E17"/>
    <w:rsid w:val="9BF86BBA"/>
    <w:rsid w:val="9DC456AA"/>
    <w:rsid w:val="9E7F7E6B"/>
    <w:rsid w:val="A7FD2EF6"/>
    <w:rsid w:val="A9B66CD5"/>
    <w:rsid w:val="AABD1EE8"/>
    <w:rsid w:val="ABFFA2B2"/>
    <w:rsid w:val="ACDF3E26"/>
    <w:rsid w:val="AFBFED91"/>
    <w:rsid w:val="AFEBDDFD"/>
    <w:rsid w:val="B1B77070"/>
    <w:rsid w:val="B3E52686"/>
    <w:rsid w:val="B67BC4C7"/>
    <w:rsid w:val="B7D779F5"/>
    <w:rsid w:val="B7FB0751"/>
    <w:rsid w:val="BB4F27EF"/>
    <w:rsid w:val="BB9DA968"/>
    <w:rsid w:val="BBF8CB9B"/>
    <w:rsid w:val="BCEBA641"/>
    <w:rsid w:val="BD8EAF9C"/>
    <w:rsid w:val="BD9FC699"/>
    <w:rsid w:val="BDECE4AF"/>
    <w:rsid w:val="BEFBA03A"/>
    <w:rsid w:val="BF59E72F"/>
    <w:rsid w:val="BF6911AC"/>
    <w:rsid w:val="BFC936F0"/>
    <w:rsid w:val="BFCEAB30"/>
    <w:rsid w:val="BFF6D94E"/>
    <w:rsid w:val="BFF6E079"/>
    <w:rsid w:val="CBBDD681"/>
    <w:rsid w:val="CEFFA4F7"/>
    <w:rsid w:val="CF7D9084"/>
    <w:rsid w:val="D6BF096D"/>
    <w:rsid w:val="D6F7EF4D"/>
    <w:rsid w:val="DAEF9B4C"/>
    <w:rsid w:val="DBC58F6F"/>
    <w:rsid w:val="DC3EFB68"/>
    <w:rsid w:val="DD6FB881"/>
    <w:rsid w:val="DD9A6AC1"/>
    <w:rsid w:val="DD9FD443"/>
    <w:rsid w:val="DE6FD7F3"/>
    <w:rsid w:val="DF5CAA66"/>
    <w:rsid w:val="DFAFF677"/>
    <w:rsid w:val="DFB13466"/>
    <w:rsid w:val="DFCD2FF1"/>
    <w:rsid w:val="DFD58D23"/>
    <w:rsid w:val="DFDB68E0"/>
    <w:rsid w:val="DFEFE4D8"/>
    <w:rsid w:val="DFF7DA8E"/>
    <w:rsid w:val="E0FFC1B3"/>
    <w:rsid w:val="E5FB78FE"/>
    <w:rsid w:val="E6EB689A"/>
    <w:rsid w:val="E77D438F"/>
    <w:rsid w:val="E9CBA6F8"/>
    <w:rsid w:val="E9FF21C0"/>
    <w:rsid w:val="EAD7139A"/>
    <w:rsid w:val="EB4F6F78"/>
    <w:rsid w:val="EB5FA4C6"/>
    <w:rsid w:val="EBE01291"/>
    <w:rsid w:val="EE3F456B"/>
    <w:rsid w:val="EEBE091D"/>
    <w:rsid w:val="EFBA88CB"/>
    <w:rsid w:val="EFEEC398"/>
    <w:rsid w:val="EFF78EE6"/>
    <w:rsid w:val="F11FC86C"/>
    <w:rsid w:val="F1BD61A3"/>
    <w:rsid w:val="F1DDFF22"/>
    <w:rsid w:val="F3DE6642"/>
    <w:rsid w:val="F3FB2A10"/>
    <w:rsid w:val="F4B734C2"/>
    <w:rsid w:val="F5028420"/>
    <w:rsid w:val="F517EC84"/>
    <w:rsid w:val="F5297A7F"/>
    <w:rsid w:val="F54BC353"/>
    <w:rsid w:val="F56B6C9C"/>
    <w:rsid w:val="F5F854C9"/>
    <w:rsid w:val="F5FF7F45"/>
    <w:rsid w:val="F65A112D"/>
    <w:rsid w:val="F76C615B"/>
    <w:rsid w:val="F76EB7A8"/>
    <w:rsid w:val="F7DE9757"/>
    <w:rsid w:val="F7DF5E08"/>
    <w:rsid w:val="F7EAD946"/>
    <w:rsid w:val="F7F7ED0D"/>
    <w:rsid w:val="F7FB2D1B"/>
    <w:rsid w:val="F7FE5C91"/>
    <w:rsid w:val="F7FF74BB"/>
    <w:rsid w:val="F7FFA8A1"/>
    <w:rsid w:val="F8F51E52"/>
    <w:rsid w:val="F95264C8"/>
    <w:rsid w:val="F974FC71"/>
    <w:rsid w:val="F9DE62D6"/>
    <w:rsid w:val="F9FF72EE"/>
    <w:rsid w:val="F9FF9F00"/>
    <w:rsid w:val="FA5DB664"/>
    <w:rsid w:val="FB6F6A03"/>
    <w:rsid w:val="FB774B07"/>
    <w:rsid w:val="FB795E59"/>
    <w:rsid w:val="FB7F716A"/>
    <w:rsid w:val="FB7FA9EE"/>
    <w:rsid w:val="FBC4D076"/>
    <w:rsid w:val="FBED77C1"/>
    <w:rsid w:val="FBEDA2A1"/>
    <w:rsid w:val="FBF68F98"/>
    <w:rsid w:val="FBFECF94"/>
    <w:rsid w:val="FBFF780A"/>
    <w:rsid w:val="FC652502"/>
    <w:rsid w:val="FCB37C60"/>
    <w:rsid w:val="FCBF84AD"/>
    <w:rsid w:val="FCCFE7AD"/>
    <w:rsid w:val="FDCB80AE"/>
    <w:rsid w:val="FDFE8A0C"/>
    <w:rsid w:val="FE3750CA"/>
    <w:rsid w:val="FE7B0E2D"/>
    <w:rsid w:val="FEFBC4F4"/>
    <w:rsid w:val="FEFD8BA2"/>
    <w:rsid w:val="FEFF27B8"/>
    <w:rsid w:val="FEFF56CB"/>
    <w:rsid w:val="FF552C5B"/>
    <w:rsid w:val="FF76813F"/>
    <w:rsid w:val="FFB897AE"/>
    <w:rsid w:val="FFBF7BEF"/>
    <w:rsid w:val="FFBFD608"/>
    <w:rsid w:val="FFCBA710"/>
    <w:rsid w:val="FFD3F3B3"/>
    <w:rsid w:val="FFDE56A1"/>
    <w:rsid w:val="FFDF0AB7"/>
    <w:rsid w:val="FFEB03E2"/>
    <w:rsid w:val="FFEBCB6D"/>
    <w:rsid w:val="FFEEC763"/>
    <w:rsid w:val="FFFDE3A0"/>
    <w:rsid w:val="FFFEAB2A"/>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7"/>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5">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1"/>
    <w:pPr>
      <w:ind w:left="140"/>
    </w:pPr>
    <w:rPr>
      <w:sz w:val="32"/>
      <w:szCs w:val="32"/>
    </w:rPr>
  </w:style>
  <w:style w:type="paragraph" w:styleId="10">
    <w:name w:val="Body Text Indent"/>
    <w:basedOn w:val="1"/>
    <w:next w:val="9"/>
    <w:qFormat/>
    <w:uiPriority w:val="0"/>
    <w:pPr>
      <w:ind w:firstLine="680"/>
    </w:pPr>
    <w:rPr>
      <w:rFonts w:ascii="仿宋_GB2312" w:hAnsi="创艺简标宋" w:eastAsia="仿宋_GB2312"/>
      <w:sz w:val="32"/>
    </w:rPr>
  </w:style>
  <w:style w:type="paragraph" w:styleId="11">
    <w:name w:val="Date"/>
    <w:basedOn w:val="1"/>
    <w:next w:val="1"/>
    <w:link w:val="35"/>
    <w:unhideWhenUsed/>
    <w:qFormat/>
    <w:uiPriority w:val="0"/>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next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unhideWhenUsed/>
    <w:qFormat/>
    <w:uiPriority w:val="99"/>
    <w:pPr>
      <w:snapToGrid w:val="0"/>
      <w:jc w:val="left"/>
    </w:pPr>
    <w:rPr>
      <w:sz w:val="18"/>
    </w:rPr>
  </w:style>
  <w:style w:type="paragraph" w:styleId="16">
    <w:name w:val="Normal (Web)"/>
    <w:basedOn w:val="1"/>
    <w:qFormat/>
    <w:uiPriority w:val="99"/>
    <w:pPr>
      <w:widowControl/>
      <w:jc w:val="left"/>
    </w:pPr>
    <w:rPr>
      <w:rFonts w:ascii="宋体" w:hAnsi="宋体" w:cs="宋体"/>
      <w:kern w:val="0"/>
      <w:sz w:val="24"/>
      <w:szCs w:val="24"/>
    </w:rPr>
  </w:style>
  <w:style w:type="paragraph" w:styleId="17">
    <w:name w:val="Body Text First Indent"/>
    <w:basedOn w:val="9"/>
    <w:semiHidden/>
    <w:unhideWhenUsed/>
    <w:qFormat/>
    <w:uiPriority w:val="99"/>
    <w:pPr>
      <w:ind w:firstLine="420" w:firstLineChars="100"/>
    </w:pPr>
  </w:style>
  <w:style w:type="paragraph" w:styleId="18">
    <w:name w:val="Body Text First Indent 2"/>
    <w:basedOn w:val="10"/>
    <w:next w:val="9"/>
    <w:semiHidden/>
    <w:unhideWhenUsed/>
    <w:qFormat/>
    <w:uiPriority w:val="99"/>
    <w:pPr>
      <w:ind w:firstLine="420" w:firstLineChars="200"/>
    </w:p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1"/>
    <w:qFormat/>
    <w:uiPriority w:val="0"/>
    <w:rPr>
      <w:color w:val="0000FF"/>
      <w:u w:val="single"/>
    </w:rPr>
  </w:style>
  <w:style w:type="paragraph" w:customStyle="1" w:styleId="24">
    <w:name w:val="标题 Char Char"/>
    <w:basedOn w:val="25"/>
    <w:next w:val="1"/>
    <w:qFormat/>
    <w:uiPriority w:val="99"/>
    <w:pPr>
      <w:spacing w:before="240" w:after="60"/>
      <w:jc w:val="center"/>
      <w:outlineLvl w:val="0"/>
    </w:pPr>
    <w:rPr>
      <w:rFonts w:ascii="Arial" w:hAnsi="Arial" w:cs="Arial"/>
      <w:b/>
      <w:bCs/>
      <w:szCs w:val="32"/>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paragraph" w:customStyle="1" w:styleId="32">
    <w:name w:val="列出段落1"/>
    <w:basedOn w:val="1"/>
    <w:qFormat/>
    <w:uiPriority w:val="0"/>
    <w:pPr>
      <w:ind w:firstLine="420" w:firstLineChars="200"/>
    </w:pPr>
    <w:rPr>
      <w:szCs w:val="24"/>
    </w:rPr>
  </w:style>
  <w:style w:type="paragraph" w:styleId="33">
    <w:name w:val="List Paragraph"/>
    <w:basedOn w:val="1"/>
    <w:qFormat/>
    <w:uiPriority w:val="99"/>
    <w:pPr>
      <w:ind w:firstLine="420" w:firstLineChars="200"/>
    </w:pPr>
  </w:style>
  <w:style w:type="character" w:customStyle="1" w:styleId="34">
    <w:name w:val="批注框文本 Char"/>
    <w:basedOn w:val="21"/>
    <w:link w:val="12"/>
    <w:semiHidden/>
    <w:qFormat/>
    <w:uiPriority w:val="99"/>
    <w:rPr>
      <w:rFonts w:ascii="Calibri" w:hAnsi="Calibri" w:eastAsia="宋体" w:cs="Times New Roman"/>
      <w:sz w:val="18"/>
      <w:szCs w:val="18"/>
    </w:rPr>
  </w:style>
  <w:style w:type="character" w:customStyle="1" w:styleId="35">
    <w:name w:val="日期 Char"/>
    <w:basedOn w:val="21"/>
    <w:link w:val="11"/>
    <w:semiHidden/>
    <w:qFormat/>
    <w:uiPriority w:val="0"/>
    <w:rPr>
      <w:rFonts w:ascii="Calibri" w:hAnsi="Calibri" w:eastAsia="宋体" w:cs="Times New Roman"/>
    </w:rPr>
  </w:style>
  <w:style w:type="paragraph" w:customStyle="1" w:styleId="36">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7">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8">
    <w:name w:val="PageNumber"/>
    <w:qFormat/>
    <w:uiPriority w:val="0"/>
  </w:style>
  <w:style w:type="character" w:customStyle="1" w:styleId="39">
    <w:name w:val="UserStyle_1"/>
    <w:link w:val="40"/>
    <w:semiHidden/>
    <w:qFormat/>
    <w:uiPriority w:val="0"/>
    <w:rPr>
      <w:rFonts w:ascii="Times New Roman" w:hAnsi="Times New Roman"/>
      <w:sz w:val="18"/>
      <w:szCs w:val="18"/>
    </w:rPr>
  </w:style>
  <w:style w:type="paragraph" w:customStyle="1" w:styleId="40">
    <w:name w:val="Acetate"/>
    <w:basedOn w:val="1"/>
    <w:link w:val="39"/>
    <w:semiHidden/>
    <w:qFormat/>
    <w:uiPriority w:val="0"/>
    <w:pPr>
      <w:widowControl/>
      <w:textAlignment w:val="baseline"/>
    </w:pPr>
    <w:rPr>
      <w:rFonts w:eastAsiaTheme="minorEastAsia" w:cstheme="minorBidi"/>
      <w:sz w:val="18"/>
      <w:szCs w:val="18"/>
    </w:rPr>
  </w:style>
  <w:style w:type="table" w:customStyle="1" w:styleId="41">
    <w:name w:val="TableGrid"/>
    <w:basedOn w:val="37"/>
    <w:qFormat/>
    <w:uiPriority w:val="0"/>
    <w:tblPr>
      <w:tblCellMar>
        <w:top w:w="0" w:type="dxa"/>
        <w:left w:w="0" w:type="dxa"/>
        <w:bottom w:w="0" w:type="dxa"/>
        <w:right w:w="0" w:type="dxa"/>
      </w:tblCellMar>
    </w:tblPr>
  </w:style>
  <w:style w:type="character" w:customStyle="1" w:styleId="42">
    <w:name w:val="批注框文本 Char1"/>
    <w:basedOn w:val="21"/>
    <w:semiHidden/>
    <w:qFormat/>
    <w:uiPriority w:val="99"/>
    <w:rPr>
      <w:rFonts w:ascii="Calibri" w:hAnsi="Calibri" w:eastAsia="宋体" w:cs="Times New Roman"/>
      <w:sz w:val="18"/>
      <w:szCs w:val="18"/>
    </w:rPr>
  </w:style>
  <w:style w:type="paragraph" w:customStyle="1" w:styleId="43">
    <w:name w:val="Table Paragraph"/>
    <w:basedOn w:val="1"/>
    <w:qFormat/>
    <w:uiPriority w:val="1"/>
  </w:style>
  <w:style w:type="paragraph" w:styleId="44">
    <w:name w:val="No Spacing"/>
    <w:basedOn w:val="1"/>
    <w:qFormat/>
    <w:uiPriority w:val="99"/>
    <w:rPr>
      <w:rFonts w:cs="Calibri"/>
      <w:szCs w:val="21"/>
    </w:rPr>
  </w:style>
  <w:style w:type="character" w:customStyle="1" w:styleId="45">
    <w:name w:val="15"/>
    <w:basedOn w:val="21"/>
    <w:qFormat/>
    <w:uiPriority w:val="0"/>
    <w:rPr>
      <w:rFonts w:hint="default" w:ascii="Calibri" w:hAnsi="Calibri" w:cs="Calibri"/>
    </w:rPr>
  </w:style>
  <w:style w:type="paragraph" w:customStyle="1" w:styleId="46">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7">
    <w:name w:val="标题 3 Char"/>
    <w:link w:val="4"/>
    <w:qFormat/>
    <w:uiPriority w:val="0"/>
    <w:rPr>
      <w:rFonts w:ascii="Times New Roman" w:hAnsi="Times New Roman" w:eastAsia="楷体_GB2312"/>
    </w:rPr>
  </w:style>
  <w:style w:type="table" w:customStyle="1" w:styleId="4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9">
    <w:name w:val="font61"/>
    <w:basedOn w:val="21"/>
    <w:qFormat/>
    <w:uiPriority w:val="0"/>
    <w:rPr>
      <w:rFonts w:hint="default" w:ascii="仿宋_GB2312" w:eastAsia="仿宋_GB2312" w:cs="仿宋_GB2312"/>
      <w:color w:val="000000"/>
      <w:sz w:val="21"/>
      <w:szCs w:val="21"/>
      <w:u w:val="none"/>
    </w:rPr>
  </w:style>
  <w:style w:type="character" w:customStyle="1" w:styleId="50">
    <w:name w:val="font91"/>
    <w:basedOn w:val="21"/>
    <w:qFormat/>
    <w:uiPriority w:val="0"/>
    <w:rPr>
      <w:rFonts w:ascii="Batang" w:hAnsi="Batang" w:eastAsia="Batang" w:cs="Batang"/>
      <w:color w:val="000000"/>
      <w:sz w:val="21"/>
      <w:szCs w:val="21"/>
      <w:u w:val="none"/>
    </w:rPr>
  </w:style>
  <w:style w:type="character" w:customStyle="1" w:styleId="51">
    <w:name w:val="font161"/>
    <w:basedOn w:val="21"/>
    <w:qFormat/>
    <w:uiPriority w:val="0"/>
    <w:rPr>
      <w:rFonts w:hint="default" w:ascii="仿宋_GB2312" w:eastAsia="仿宋_GB2312" w:cs="仿宋_GB2312"/>
      <w:color w:val="000000"/>
      <w:sz w:val="20"/>
      <w:szCs w:val="20"/>
      <w:u w:val="none"/>
    </w:rPr>
  </w:style>
  <w:style w:type="character" w:customStyle="1" w:styleId="52">
    <w:name w:val="font01"/>
    <w:basedOn w:val="21"/>
    <w:qFormat/>
    <w:uiPriority w:val="0"/>
    <w:rPr>
      <w:rFonts w:hint="eastAsia" w:ascii="Batang" w:hAnsi="Batang" w:eastAsia="Batang" w:cs="Batang"/>
      <w:color w:val="000000"/>
      <w:sz w:val="20"/>
      <w:szCs w:val="20"/>
      <w:u w:val="none"/>
    </w:rPr>
  </w:style>
  <w:style w:type="character" w:customStyle="1" w:styleId="53">
    <w:name w:val="font11"/>
    <w:basedOn w:val="21"/>
    <w:qFormat/>
    <w:uiPriority w:val="0"/>
    <w:rPr>
      <w:rFonts w:hint="eastAsia" w:ascii="仿宋_GB2312" w:eastAsia="仿宋_GB2312" w:cs="仿宋_GB2312"/>
      <w:color w:val="000000"/>
      <w:sz w:val="20"/>
      <w:szCs w:val="20"/>
      <w:u w:val="none"/>
    </w:rPr>
  </w:style>
  <w:style w:type="paragraph" w:customStyle="1" w:styleId="54">
    <w:name w:val="Table Text"/>
    <w:basedOn w:val="1"/>
    <w:semiHidden/>
    <w:qFormat/>
    <w:uiPriority w:val="0"/>
    <w:rPr>
      <w:rFonts w:ascii="仿宋" w:hAnsi="仿宋" w:eastAsia="仿宋" w:cs="仿宋"/>
      <w:sz w:val="24"/>
      <w:szCs w:val="24"/>
      <w:lang w:val="en-US" w:eastAsia="en-US" w:bidi="ar-SA"/>
    </w:rPr>
  </w:style>
  <w:style w:type="character" w:customStyle="1" w:styleId="55">
    <w:name w:val="font21"/>
    <w:basedOn w:val="21"/>
    <w:qFormat/>
    <w:uiPriority w:val="0"/>
    <w:rPr>
      <w:rFonts w:hint="eastAsia" w:ascii="仿宋_GB2312" w:eastAsia="仿宋_GB2312" w:cs="仿宋_GB2312"/>
      <w:color w:val="000000"/>
      <w:sz w:val="20"/>
      <w:szCs w:val="20"/>
      <w:u w:val="none"/>
    </w:rPr>
  </w:style>
  <w:style w:type="paragraph" w:customStyle="1" w:styleId="56">
    <w:name w:val="正文文本1"/>
    <w:basedOn w:val="1"/>
    <w:qFormat/>
    <w:uiPriority w:val="0"/>
    <w:rPr>
      <w:rFonts w:ascii="Arial" w:hAnsi="Arial" w:eastAsia="Arial"/>
      <w:sz w:val="21"/>
      <w:szCs w:val="21"/>
      <w:lang w:val="en-US" w:eastAsia="en-US" w:bidi="ar-SA"/>
    </w:rPr>
  </w:style>
  <w:style w:type="paragraph" w:customStyle="1" w:styleId="57">
    <w:name w:val="页脚1"/>
    <w:basedOn w:val="1"/>
    <w:qFormat/>
    <w:uiPriority w:val="0"/>
    <w:pPr>
      <w:tabs>
        <w:tab w:val="center" w:pos="4153"/>
        <w:tab w:val="right" w:pos="8306"/>
      </w:tabs>
      <w:snapToGrid w:val="0"/>
      <w:jc w:val="left"/>
    </w:pPr>
    <w:rPr>
      <w:sz w:val="18"/>
    </w:rPr>
  </w:style>
  <w:style w:type="paragraph" w:customStyle="1" w:styleId="5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1491</Words>
  <Characters>1591</Characters>
  <Lines>31</Lines>
  <Paragraphs>8</Paragraphs>
  <TotalTime>6</TotalTime>
  <ScaleCrop>false</ScaleCrop>
  <LinksUpToDate>false</LinksUpToDate>
  <CharactersWithSpaces>1604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2020-10-20T15:38:00Z</dcterms:created>
  <dc:creator>2017年政府办公文封发</dc:creator>
  <cp:lastModifiedBy>袁滔</cp:lastModifiedBy>
  <cp:lastPrinted>2019-11-03T23:51:00Z</cp:lastPrinted>
  <dcterms:modified xsi:type="dcterms:W3CDTF">2025-05-29T08:15:02Z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DocerSaveRecord">
    <vt:lpwstr>eyJoZGlkIjoiMDcyNTgyMDQ3ZmE0MDZlN2Y4OTMzNDkwMDQ0MWY3NjAiLCJ1c2VySWQiOiIxNDg0MTk4NTk1In0=</vt:lpwstr>
  </property>
  <property fmtid="{D5CDD505-2E9C-101B-9397-08002B2CF9AE}" pid="4" name="ICV">
    <vt:lpwstr>DFCC68785B414B84BCC9B7AACBF222DC_12</vt:lpwstr>
  </property>
</Properties>
</file>